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2"/>
        <w:gridCol w:w="4698"/>
      </w:tblGrid>
      <w:tr w:rsidR="00886481" w:rsidRPr="00886481" w14:paraId="617C092C" w14:textId="77777777" w:rsidTr="00FA6140">
        <w:tc>
          <w:tcPr>
            <w:tcW w:w="9576" w:type="dxa"/>
            <w:gridSpan w:val="2"/>
            <w:shd w:val="clear" w:color="auto" w:fill="auto"/>
          </w:tcPr>
          <w:p w14:paraId="584B4882" w14:textId="77777777" w:rsidR="00886481" w:rsidRPr="00886481" w:rsidRDefault="00886481" w:rsidP="00886481">
            <w:pPr>
              <w:spacing w:after="0"/>
              <w:jc w:val="center"/>
              <w:rPr>
                <w:rFonts w:ascii="Times New Roman" w:hAnsi="Times New Roman" w:cs="Times New Roman"/>
                <w:b/>
                <w:sz w:val="28"/>
              </w:rPr>
            </w:pPr>
            <w:r w:rsidRPr="00886481">
              <w:rPr>
                <w:rFonts w:ascii="Times New Roman" w:hAnsi="Times New Roman" w:cs="Times New Roman"/>
                <w:b/>
                <w:sz w:val="28"/>
              </w:rPr>
              <w:t>University of Central Florida</w:t>
            </w:r>
          </w:p>
          <w:p w14:paraId="5B297BB7" w14:textId="77777777" w:rsidR="00886481" w:rsidRPr="00886481" w:rsidRDefault="00886481" w:rsidP="00886481">
            <w:pPr>
              <w:spacing w:after="0"/>
              <w:jc w:val="center"/>
              <w:rPr>
                <w:rFonts w:ascii="Times New Roman" w:hAnsi="Times New Roman" w:cs="Times New Roman"/>
                <w:b/>
                <w:sz w:val="28"/>
              </w:rPr>
            </w:pPr>
            <w:r w:rsidRPr="00886481">
              <w:rPr>
                <w:rFonts w:ascii="Times New Roman" w:hAnsi="Times New Roman" w:cs="Times New Roman"/>
                <w:b/>
                <w:sz w:val="28"/>
              </w:rPr>
              <w:t>Guidance &amp; Directive</w:t>
            </w:r>
          </w:p>
        </w:tc>
      </w:tr>
      <w:tr w:rsidR="00886481" w:rsidRPr="00886481" w14:paraId="09D61C17" w14:textId="77777777" w:rsidTr="00FA6140">
        <w:trPr>
          <w:trHeight w:val="683"/>
        </w:trPr>
        <w:tc>
          <w:tcPr>
            <w:tcW w:w="4788" w:type="dxa"/>
            <w:shd w:val="clear" w:color="auto" w:fill="auto"/>
          </w:tcPr>
          <w:p w14:paraId="6E78DA30" w14:textId="77777777" w:rsidR="00886481" w:rsidRPr="00886481" w:rsidRDefault="00886481" w:rsidP="00886481">
            <w:pPr>
              <w:spacing w:after="0"/>
              <w:rPr>
                <w:rFonts w:ascii="Times New Roman" w:hAnsi="Times New Roman" w:cs="Times New Roman"/>
                <w:b/>
                <w:sz w:val="28"/>
              </w:rPr>
            </w:pPr>
            <w:r w:rsidRPr="00886481">
              <w:rPr>
                <w:rFonts w:ascii="Times New Roman" w:hAnsi="Times New Roman" w:cs="Times New Roman"/>
                <w:b/>
                <w:sz w:val="28"/>
              </w:rPr>
              <w:t>Guidance &amp; Directive No: ORC-02</w:t>
            </w:r>
          </w:p>
        </w:tc>
        <w:tc>
          <w:tcPr>
            <w:tcW w:w="4788" w:type="dxa"/>
            <w:shd w:val="clear" w:color="auto" w:fill="auto"/>
          </w:tcPr>
          <w:p w14:paraId="2D575149" w14:textId="77777777" w:rsidR="00886481" w:rsidRPr="00886481" w:rsidRDefault="00886481" w:rsidP="00886481">
            <w:pPr>
              <w:spacing w:after="0"/>
              <w:rPr>
                <w:rFonts w:ascii="Times New Roman" w:hAnsi="Times New Roman" w:cs="Times New Roman"/>
                <w:b/>
                <w:sz w:val="28"/>
              </w:rPr>
            </w:pPr>
            <w:r w:rsidRPr="00886481">
              <w:rPr>
                <w:rFonts w:ascii="Times New Roman" w:hAnsi="Times New Roman" w:cs="Times New Roman"/>
                <w:b/>
                <w:sz w:val="28"/>
              </w:rPr>
              <w:t xml:space="preserve">Date of Adoption/Revision: </w:t>
            </w:r>
            <w:r>
              <w:rPr>
                <w:rFonts w:ascii="Times New Roman" w:hAnsi="Times New Roman" w:cs="Times New Roman"/>
                <w:b/>
                <w:sz w:val="28"/>
              </w:rPr>
              <w:t xml:space="preserve">August </w:t>
            </w:r>
            <w:r w:rsidRPr="00886481">
              <w:rPr>
                <w:rFonts w:ascii="Times New Roman" w:hAnsi="Times New Roman" w:cs="Times New Roman"/>
                <w:b/>
                <w:sz w:val="28"/>
              </w:rPr>
              <w:t xml:space="preserve"> 201</w:t>
            </w:r>
            <w:r>
              <w:rPr>
                <w:rFonts w:ascii="Times New Roman" w:hAnsi="Times New Roman" w:cs="Times New Roman"/>
                <w:b/>
                <w:sz w:val="28"/>
              </w:rPr>
              <w:t>8</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7578"/>
      </w:tblGrid>
      <w:tr w:rsidR="00886481" w:rsidRPr="00886481" w14:paraId="22EE26AB" w14:textId="77777777" w:rsidTr="00E50015">
        <w:trPr>
          <w:jc w:val="center"/>
        </w:trPr>
        <w:tc>
          <w:tcPr>
            <w:tcW w:w="1772" w:type="dxa"/>
            <w:shd w:val="clear" w:color="auto" w:fill="auto"/>
          </w:tcPr>
          <w:p w14:paraId="7600452A" w14:textId="77777777" w:rsidR="00886481" w:rsidRPr="00886481" w:rsidRDefault="00886481" w:rsidP="00886481">
            <w:pPr>
              <w:spacing w:after="0"/>
              <w:jc w:val="center"/>
              <w:rPr>
                <w:rFonts w:ascii="Times New Roman" w:hAnsi="Times New Roman" w:cs="Times New Roman"/>
                <w:b/>
                <w:sz w:val="28"/>
              </w:rPr>
            </w:pPr>
            <w:r w:rsidRPr="00886481">
              <w:rPr>
                <w:rFonts w:ascii="Times New Roman" w:hAnsi="Times New Roman" w:cs="Times New Roman"/>
                <w:b/>
                <w:sz w:val="28"/>
              </w:rPr>
              <w:t>Subject</w:t>
            </w:r>
          </w:p>
        </w:tc>
        <w:tc>
          <w:tcPr>
            <w:tcW w:w="7578" w:type="dxa"/>
            <w:shd w:val="clear" w:color="auto" w:fill="auto"/>
          </w:tcPr>
          <w:p w14:paraId="036A5FE9" w14:textId="77777777" w:rsidR="00886481" w:rsidRPr="00886481" w:rsidRDefault="00886481" w:rsidP="005765EF">
            <w:pPr>
              <w:spacing w:after="0"/>
              <w:jc w:val="center"/>
              <w:rPr>
                <w:rFonts w:ascii="Times New Roman" w:hAnsi="Times New Roman" w:cs="Times New Roman"/>
                <w:b/>
                <w:sz w:val="28"/>
              </w:rPr>
            </w:pPr>
            <w:r w:rsidRPr="00886481">
              <w:rPr>
                <w:rFonts w:ascii="Times New Roman" w:hAnsi="Times New Roman" w:cs="Times New Roman"/>
                <w:b/>
                <w:sz w:val="28"/>
              </w:rPr>
              <w:t>Cost Transfers</w:t>
            </w:r>
            <w:r w:rsidR="00E50015">
              <w:rPr>
                <w:rFonts w:ascii="Times New Roman" w:hAnsi="Times New Roman" w:cs="Times New Roman"/>
                <w:b/>
                <w:sz w:val="28"/>
              </w:rPr>
              <w:t xml:space="preserve"> </w:t>
            </w:r>
          </w:p>
        </w:tc>
      </w:tr>
      <w:tr w:rsidR="00886481" w:rsidRPr="00886481" w14:paraId="43504836" w14:textId="77777777" w:rsidTr="00E50015">
        <w:trPr>
          <w:jc w:val="center"/>
        </w:trPr>
        <w:tc>
          <w:tcPr>
            <w:tcW w:w="1772" w:type="dxa"/>
            <w:shd w:val="clear" w:color="auto" w:fill="auto"/>
          </w:tcPr>
          <w:p w14:paraId="254E2A5E" w14:textId="77777777" w:rsidR="00886481" w:rsidRPr="00886481" w:rsidRDefault="00886481" w:rsidP="00886481">
            <w:pPr>
              <w:spacing w:after="0"/>
              <w:jc w:val="center"/>
              <w:rPr>
                <w:rFonts w:ascii="Times New Roman" w:hAnsi="Times New Roman" w:cs="Times New Roman"/>
                <w:b/>
                <w:sz w:val="28"/>
              </w:rPr>
            </w:pPr>
            <w:r w:rsidRPr="00886481">
              <w:rPr>
                <w:rFonts w:ascii="Times New Roman" w:hAnsi="Times New Roman" w:cs="Times New Roman"/>
                <w:b/>
                <w:sz w:val="28"/>
              </w:rPr>
              <w:t>Authority</w:t>
            </w:r>
          </w:p>
        </w:tc>
        <w:tc>
          <w:tcPr>
            <w:tcW w:w="7578" w:type="dxa"/>
            <w:shd w:val="clear" w:color="auto" w:fill="auto"/>
          </w:tcPr>
          <w:p w14:paraId="42BC0D1F" w14:textId="77777777" w:rsidR="00886481" w:rsidRPr="00886481" w:rsidRDefault="00886481" w:rsidP="00886481">
            <w:pPr>
              <w:spacing w:after="0"/>
              <w:jc w:val="center"/>
              <w:rPr>
                <w:rFonts w:ascii="Times New Roman" w:hAnsi="Times New Roman" w:cs="Times New Roman"/>
                <w:b/>
                <w:sz w:val="28"/>
              </w:rPr>
            </w:pPr>
            <w:r w:rsidRPr="00886481">
              <w:rPr>
                <w:rFonts w:ascii="Times New Roman" w:hAnsi="Times New Roman" w:cs="Times New Roman"/>
                <w:b/>
                <w:sz w:val="28"/>
              </w:rPr>
              <w:t xml:space="preserve">OMB </w:t>
            </w:r>
            <w:r>
              <w:rPr>
                <w:rFonts w:ascii="Times New Roman" w:hAnsi="Times New Roman" w:cs="Times New Roman"/>
                <w:b/>
                <w:sz w:val="28"/>
              </w:rPr>
              <w:t>Uniform Guidance, Subpart E</w:t>
            </w:r>
          </w:p>
        </w:tc>
      </w:tr>
      <w:tr w:rsidR="00886481" w:rsidRPr="00886481" w14:paraId="0D17FFB5" w14:textId="77777777" w:rsidTr="00E50015">
        <w:trPr>
          <w:jc w:val="center"/>
        </w:trPr>
        <w:tc>
          <w:tcPr>
            <w:tcW w:w="1772" w:type="dxa"/>
            <w:shd w:val="clear" w:color="auto" w:fill="auto"/>
          </w:tcPr>
          <w:p w14:paraId="79EF134F" w14:textId="77777777" w:rsidR="00886481" w:rsidRPr="00886481" w:rsidRDefault="00886481" w:rsidP="00886481">
            <w:pPr>
              <w:spacing w:after="0"/>
              <w:jc w:val="center"/>
              <w:rPr>
                <w:rFonts w:ascii="Times New Roman" w:hAnsi="Times New Roman" w:cs="Times New Roman"/>
                <w:b/>
                <w:sz w:val="28"/>
              </w:rPr>
            </w:pPr>
            <w:r w:rsidRPr="00886481">
              <w:rPr>
                <w:rFonts w:ascii="Times New Roman" w:hAnsi="Times New Roman" w:cs="Times New Roman"/>
                <w:b/>
                <w:sz w:val="28"/>
              </w:rPr>
              <w:t>Applicability</w:t>
            </w:r>
          </w:p>
        </w:tc>
        <w:tc>
          <w:tcPr>
            <w:tcW w:w="7578" w:type="dxa"/>
            <w:shd w:val="clear" w:color="auto" w:fill="auto"/>
          </w:tcPr>
          <w:p w14:paraId="63C4B9C7" w14:textId="77777777" w:rsidR="00886481" w:rsidRPr="00886481" w:rsidRDefault="00886481" w:rsidP="00886481">
            <w:pPr>
              <w:spacing w:after="0"/>
              <w:jc w:val="center"/>
              <w:rPr>
                <w:rFonts w:ascii="Times New Roman" w:hAnsi="Times New Roman" w:cs="Times New Roman"/>
                <w:b/>
                <w:sz w:val="28"/>
              </w:rPr>
            </w:pPr>
            <w:r w:rsidRPr="00886481">
              <w:rPr>
                <w:rFonts w:ascii="Times New Roman" w:hAnsi="Times New Roman" w:cs="Times New Roman"/>
                <w:b/>
                <w:sz w:val="28"/>
              </w:rPr>
              <w:t>Administration of Sponsored Projects</w:t>
            </w:r>
          </w:p>
        </w:tc>
      </w:tr>
    </w:tbl>
    <w:p w14:paraId="6CB97242" w14:textId="77777777" w:rsidR="00886481" w:rsidRDefault="00886481" w:rsidP="00FE4A7B">
      <w:pPr>
        <w:spacing w:after="0"/>
        <w:jc w:val="center"/>
        <w:rPr>
          <w:rFonts w:ascii="Times New Roman" w:hAnsi="Times New Roman" w:cs="Times New Roman"/>
          <w:b/>
          <w:sz w:val="28"/>
        </w:rPr>
      </w:pPr>
    </w:p>
    <w:p w14:paraId="21612DF6" w14:textId="77777777" w:rsidR="00FE4A7B" w:rsidRPr="00AF47FA" w:rsidRDefault="00FE4A7B" w:rsidP="00E02A35">
      <w:pPr>
        <w:spacing w:after="0"/>
        <w:rPr>
          <w:rFonts w:ascii="Times New Roman" w:hAnsi="Times New Roman" w:cs="Times New Roman"/>
          <w:b/>
          <w:sz w:val="24"/>
        </w:rPr>
      </w:pPr>
    </w:p>
    <w:p w14:paraId="282D0412" w14:textId="77777777" w:rsidR="00583B59" w:rsidRPr="00AF47FA" w:rsidRDefault="00583B59" w:rsidP="00583B59">
      <w:pPr>
        <w:spacing w:after="0"/>
        <w:rPr>
          <w:rFonts w:ascii="Times New Roman" w:hAnsi="Times New Roman" w:cs="Times New Roman"/>
          <w:b/>
          <w:sz w:val="28"/>
          <w:u w:val="single"/>
        </w:rPr>
      </w:pPr>
      <w:r w:rsidRPr="00AF47FA">
        <w:rPr>
          <w:rFonts w:ascii="Times New Roman" w:hAnsi="Times New Roman" w:cs="Times New Roman"/>
          <w:b/>
          <w:sz w:val="28"/>
          <w:u w:val="single"/>
        </w:rPr>
        <w:t>Statement and Purpose</w:t>
      </w:r>
    </w:p>
    <w:p w14:paraId="6201E7E0" w14:textId="77777777" w:rsidR="00E50015" w:rsidRDefault="00E50015" w:rsidP="00D012A7">
      <w:pPr>
        <w:spacing w:after="0"/>
        <w:rPr>
          <w:rFonts w:ascii="Times New Roman" w:hAnsi="Times New Roman" w:cs="Times New Roman"/>
          <w:sz w:val="24"/>
        </w:rPr>
      </w:pPr>
    </w:p>
    <w:p w14:paraId="7E296532" w14:textId="77777777" w:rsidR="00E50015" w:rsidRDefault="00E50015" w:rsidP="00D012A7">
      <w:pPr>
        <w:spacing w:after="0"/>
        <w:rPr>
          <w:rFonts w:ascii="Times New Roman" w:hAnsi="Times New Roman" w:cs="Times New Roman"/>
          <w:sz w:val="24"/>
        </w:rPr>
      </w:pPr>
      <w:r w:rsidRPr="00E50015">
        <w:rPr>
          <w:rFonts w:ascii="Times New Roman" w:hAnsi="Times New Roman" w:cs="Times New Roman"/>
          <w:sz w:val="24"/>
        </w:rPr>
        <w:t>The University requires that all costs charged to sponsored awards must be allowable, allocable, reasonable and timely.  Costs should be charged to the appropriate sponsored project account when incurred.  Diligent review of financial records and timely communication between principal investigators and departmental administrators should prevent the necessity for transfers; however, there are circumstances where it is necessary to transfer expenditures to or from a sponsored project subsequent to the initial recording of the charge</w:t>
      </w:r>
      <w:r>
        <w:rPr>
          <w:rFonts w:ascii="Times New Roman" w:hAnsi="Times New Roman" w:cs="Times New Roman"/>
          <w:sz w:val="24"/>
        </w:rPr>
        <w:t>.</w:t>
      </w:r>
    </w:p>
    <w:p w14:paraId="151C33CA" w14:textId="77777777" w:rsidR="00E50015" w:rsidRDefault="00E50015" w:rsidP="00D012A7">
      <w:pPr>
        <w:spacing w:after="0"/>
        <w:rPr>
          <w:rFonts w:ascii="Times New Roman" w:hAnsi="Times New Roman" w:cs="Times New Roman"/>
          <w:sz w:val="24"/>
        </w:rPr>
      </w:pPr>
    </w:p>
    <w:p w14:paraId="75FB9356" w14:textId="77777777" w:rsidR="00D012A7" w:rsidRPr="00AF47FA" w:rsidRDefault="00D012A7" w:rsidP="00D012A7">
      <w:pPr>
        <w:spacing w:after="0"/>
        <w:rPr>
          <w:rFonts w:ascii="Times New Roman" w:hAnsi="Times New Roman" w:cs="Times New Roman"/>
          <w:sz w:val="24"/>
        </w:rPr>
      </w:pPr>
      <w:r w:rsidRPr="00AF47FA">
        <w:rPr>
          <w:rFonts w:ascii="Times New Roman" w:hAnsi="Times New Roman" w:cs="Times New Roman"/>
          <w:sz w:val="24"/>
        </w:rPr>
        <w:t>Uniform Guidance (</w:t>
      </w:r>
      <w:hyperlink r:id="rId8" w:anchor="se2.1.200_1405" w:history="1">
        <w:r w:rsidRPr="00AF47FA">
          <w:rPr>
            <w:rStyle w:val="Hyperlink"/>
            <w:rFonts w:ascii="Times New Roman" w:hAnsi="Times New Roman" w:cs="Times New Roman"/>
            <w:sz w:val="24"/>
          </w:rPr>
          <w:t>200.405 – Allocable Costs</w:t>
        </w:r>
      </w:hyperlink>
      <w:r w:rsidRPr="00AF47FA">
        <w:rPr>
          <w:rFonts w:ascii="Times New Roman" w:hAnsi="Times New Roman" w:cs="Times New Roman"/>
          <w:sz w:val="24"/>
        </w:rPr>
        <w:t xml:space="preserve">) requires that any costs allocable to a sponsored project may not be charged to other Federal awards to overcome fund deficiencies, to avoid restrictions imposed by Federal statutes, regulations, or terms and conditions of the Federal awards, or for other reasons. In addition to federal guidance, sponsors may have specific guidelines on cost transfer allowability. The Office of Research should be consulted when clarification or guidance is requested related to the allowability of any proposed cost transfer. </w:t>
      </w:r>
    </w:p>
    <w:p w14:paraId="4F504AF8" w14:textId="77777777" w:rsidR="00D012A7" w:rsidRPr="00AF47FA" w:rsidRDefault="00D012A7" w:rsidP="00583B59">
      <w:pPr>
        <w:spacing w:after="0"/>
        <w:rPr>
          <w:rFonts w:ascii="Times New Roman" w:hAnsi="Times New Roman" w:cs="Times New Roman"/>
          <w:sz w:val="24"/>
        </w:rPr>
      </w:pPr>
    </w:p>
    <w:p w14:paraId="5658E854" w14:textId="77777777" w:rsidR="00583B59" w:rsidRPr="00AF47FA" w:rsidRDefault="00583B59" w:rsidP="00583B59">
      <w:pPr>
        <w:spacing w:after="0"/>
        <w:rPr>
          <w:rFonts w:ascii="Times New Roman" w:hAnsi="Times New Roman" w:cs="Times New Roman"/>
          <w:sz w:val="24"/>
        </w:rPr>
      </w:pPr>
      <w:r w:rsidRPr="00AF47FA">
        <w:rPr>
          <w:rFonts w:ascii="Times New Roman" w:hAnsi="Times New Roman" w:cs="Times New Roman"/>
          <w:sz w:val="24"/>
        </w:rPr>
        <w:t xml:space="preserve">Proper management of funds is essential to uphold the fiduciary responsibilities of the University. Federal agencies and other sponsors may regard the following activities as indicative of inadequate control systems: </w:t>
      </w:r>
    </w:p>
    <w:p w14:paraId="2BD5CF5C" w14:textId="77777777" w:rsidR="00583B59" w:rsidRPr="00AF47FA" w:rsidRDefault="00583B59" w:rsidP="00583B59">
      <w:pPr>
        <w:pStyle w:val="ListParagraph"/>
        <w:numPr>
          <w:ilvl w:val="0"/>
          <w:numId w:val="3"/>
        </w:numPr>
        <w:spacing w:after="0"/>
        <w:rPr>
          <w:rFonts w:ascii="Times New Roman" w:hAnsi="Times New Roman" w:cs="Times New Roman"/>
          <w:sz w:val="24"/>
        </w:rPr>
      </w:pPr>
      <w:r w:rsidRPr="00AF47FA">
        <w:rPr>
          <w:rFonts w:ascii="Times New Roman" w:hAnsi="Times New Roman" w:cs="Times New Roman"/>
          <w:sz w:val="24"/>
        </w:rPr>
        <w:t>Frequent cost transfers</w:t>
      </w:r>
    </w:p>
    <w:p w14:paraId="4480C507" w14:textId="77777777" w:rsidR="00583B59" w:rsidRPr="00AF47FA" w:rsidRDefault="00583B59" w:rsidP="00583B59">
      <w:pPr>
        <w:pStyle w:val="ListParagraph"/>
        <w:numPr>
          <w:ilvl w:val="0"/>
          <w:numId w:val="3"/>
        </w:numPr>
        <w:spacing w:after="0"/>
        <w:rPr>
          <w:rFonts w:ascii="Times New Roman" w:hAnsi="Times New Roman" w:cs="Times New Roman"/>
          <w:sz w:val="24"/>
        </w:rPr>
      </w:pPr>
      <w:r w:rsidRPr="00AF47FA">
        <w:rPr>
          <w:rFonts w:ascii="Times New Roman" w:hAnsi="Times New Roman" w:cs="Times New Roman"/>
          <w:sz w:val="24"/>
        </w:rPr>
        <w:t>Late cost transfers</w:t>
      </w:r>
      <w:r w:rsidR="00AF47FA">
        <w:rPr>
          <w:rFonts w:ascii="Times New Roman" w:hAnsi="Times New Roman" w:cs="Times New Roman"/>
          <w:sz w:val="24"/>
        </w:rPr>
        <w:t xml:space="preserve"> (transfers greater than 90 days from origination)</w:t>
      </w:r>
    </w:p>
    <w:p w14:paraId="1B1377C2" w14:textId="77777777" w:rsidR="00583B59" w:rsidRPr="00AF47FA" w:rsidRDefault="00583B59" w:rsidP="00583B59">
      <w:pPr>
        <w:pStyle w:val="ListParagraph"/>
        <w:numPr>
          <w:ilvl w:val="0"/>
          <w:numId w:val="3"/>
        </w:numPr>
        <w:spacing w:after="0"/>
        <w:rPr>
          <w:rFonts w:ascii="Times New Roman" w:hAnsi="Times New Roman" w:cs="Times New Roman"/>
          <w:sz w:val="24"/>
        </w:rPr>
      </w:pPr>
      <w:r w:rsidRPr="00AF47FA">
        <w:rPr>
          <w:rFonts w:ascii="Times New Roman" w:hAnsi="Times New Roman" w:cs="Times New Roman"/>
          <w:sz w:val="24"/>
        </w:rPr>
        <w:t>Inadequately documented or explained transfers, especially those which involve sponsored projects with overruns or unexpended balances</w:t>
      </w:r>
    </w:p>
    <w:p w14:paraId="54E61BA0" w14:textId="77777777" w:rsidR="00583B59" w:rsidRPr="00AF47FA" w:rsidRDefault="00583B59" w:rsidP="00583B59">
      <w:pPr>
        <w:spacing w:after="0"/>
        <w:rPr>
          <w:rFonts w:ascii="Times New Roman" w:hAnsi="Times New Roman" w:cs="Times New Roman"/>
          <w:b/>
          <w:sz w:val="24"/>
        </w:rPr>
      </w:pPr>
    </w:p>
    <w:p w14:paraId="1ABEB446" w14:textId="77777777" w:rsidR="00583B59" w:rsidRPr="00AF47FA" w:rsidRDefault="00583B59" w:rsidP="00583B59">
      <w:pPr>
        <w:spacing w:after="0"/>
        <w:rPr>
          <w:rFonts w:ascii="Times New Roman" w:hAnsi="Times New Roman" w:cs="Times New Roman"/>
          <w:sz w:val="24"/>
        </w:rPr>
      </w:pPr>
      <w:r w:rsidRPr="00AF47FA">
        <w:rPr>
          <w:rFonts w:ascii="Times New Roman" w:hAnsi="Times New Roman" w:cs="Times New Roman"/>
          <w:sz w:val="24"/>
        </w:rPr>
        <w:t>Inappropriate transfers will result in expenditures being disallowed and/or subsequent reduction in funding by the sponsoring agency.</w:t>
      </w:r>
    </w:p>
    <w:p w14:paraId="2116B188" w14:textId="77777777" w:rsidR="00583B59" w:rsidRPr="00AF47FA" w:rsidRDefault="00583B59" w:rsidP="00583B59">
      <w:pPr>
        <w:spacing w:after="0"/>
        <w:rPr>
          <w:rFonts w:ascii="Times New Roman" w:hAnsi="Times New Roman" w:cs="Times New Roman"/>
          <w:b/>
          <w:sz w:val="24"/>
        </w:rPr>
      </w:pPr>
    </w:p>
    <w:p w14:paraId="7EA5688C" w14:textId="77777777" w:rsidR="00583B59" w:rsidRDefault="00583B59" w:rsidP="00583B59">
      <w:pPr>
        <w:spacing w:after="0"/>
        <w:rPr>
          <w:rFonts w:ascii="Times New Roman" w:hAnsi="Times New Roman" w:cs="Times New Roman"/>
          <w:b/>
          <w:sz w:val="28"/>
          <w:u w:val="single"/>
        </w:rPr>
      </w:pPr>
      <w:r w:rsidRPr="00AF47FA">
        <w:rPr>
          <w:rFonts w:ascii="Times New Roman" w:hAnsi="Times New Roman" w:cs="Times New Roman"/>
          <w:b/>
          <w:sz w:val="28"/>
          <w:u w:val="single"/>
        </w:rPr>
        <w:t>Definition of Cost Transfers</w:t>
      </w:r>
    </w:p>
    <w:p w14:paraId="2AA8C144" w14:textId="77777777" w:rsidR="00F71C21" w:rsidRPr="00F71C21" w:rsidRDefault="00F71C21" w:rsidP="00583B59">
      <w:pPr>
        <w:spacing w:after="0"/>
        <w:rPr>
          <w:rFonts w:ascii="Times New Roman" w:hAnsi="Times New Roman" w:cs="Times New Roman"/>
          <w:b/>
          <w:sz w:val="24"/>
          <w:u w:val="single"/>
        </w:rPr>
      </w:pPr>
    </w:p>
    <w:p w14:paraId="270B11AA" w14:textId="77777777" w:rsidR="00583B59" w:rsidRDefault="00583B59" w:rsidP="00583B59">
      <w:pPr>
        <w:spacing w:after="0"/>
        <w:rPr>
          <w:rFonts w:ascii="Times New Roman" w:hAnsi="Times New Roman" w:cs="Times New Roman"/>
          <w:sz w:val="24"/>
        </w:rPr>
      </w:pPr>
      <w:r w:rsidRPr="00AF47FA">
        <w:rPr>
          <w:rFonts w:ascii="Times New Roman" w:hAnsi="Times New Roman" w:cs="Times New Roman"/>
          <w:sz w:val="24"/>
        </w:rPr>
        <w:t xml:space="preserve">A cost transfer is an after-the-fact reallocation of costs, either salary or non-salary costs, to or from a sponsored project. Funding agency requirements concerning the management of awards made to institutions such as the </w:t>
      </w:r>
      <w:r w:rsidR="00D012A7" w:rsidRPr="00AF47FA">
        <w:rPr>
          <w:rFonts w:ascii="Times New Roman" w:hAnsi="Times New Roman" w:cs="Times New Roman"/>
          <w:sz w:val="24"/>
        </w:rPr>
        <w:t>University of Central Florida</w:t>
      </w:r>
      <w:r w:rsidRPr="00AF47FA">
        <w:rPr>
          <w:rFonts w:ascii="Times New Roman" w:hAnsi="Times New Roman" w:cs="Times New Roman"/>
          <w:sz w:val="24"/>
        </w:rPr>
        <w:t xml:space="preserve"> limit the circumstances under which cost transfers are allowed. In contrast, a rebudgeting action involves the reallocation of budgeted funds and not a transfer of expenditures. </w:t>
      </w:r>
    </w:p>
    <w:p w14:paraId="6EB176EE" w14:textId="77777777" w:rsidR="00AF47FA" w:rsidRDefault="00AF47FA" w:rsidP="00583B59">
      <w:pPr>
        <w:spacing w:after="0"/>
        <w:rPr>
          <w:rFonts w:ascii="Times New Roman" w:hAnsi="Times New Roman" w:cs="Times New Roman"/>
          <w:sz w:val="24"/>
        </w:rPr>
      </w:pPr>
    </w:p>
    <w:p w14:paraId="292C6FF0" w14:textId="77777777" w:rsidR="00AF47FA" w:rsidRDefault="00AF47FA" w:rsidP="00583B59">
      <w:pPr>
        <w:spacing w:after="0"/>
        <w:rPr>
          <w:rFonts w:ascii="Times New Roman" w:hAnsi="Times New Roman" w:cs="Times New Roman"/>
          <w:sz w:val="24"/>
        </w:rPr>
      </w:pPr>
    </w:p>
    <w:p w14:paraId="28CF1E2F" w14:textId="77777777" w:rsidR="00AF47FA" w:rsidRDefault="00AF47FA" w:rsidP="00AF47FA">
      <w:pPr>
        <w:tabs>
          <w:tab w:val="num" w:pos="1080"/>
        </w:tabs>
        <w:spacing w:after="0"/>
        <w:rPr>
          <w:rFonts w:ascii="Times New Roman" w:hAnsi="Times New Roman" w:cs="Times New Roman"/>
          <w:b/>
          <w:sz w:val="28"/>
          <w:u w:val="single"/>
        </w:rPr>
      </w:pPr>
      <w:r w:rsidRPr="00F71C21">
        <w:rPr>
          <w:rFonts w:ascii="Times New Roman" w:hAnsi="Times New Roman" w:cs="Times New Roman"/>
          <w:b/>
          <w:sz w:val="28"/>
          <w:u w:val="single"/>
        </w:rPr>
        <w:t xml:space="preserve">Cost Transfer Necessity </w:t>
      </w:r>
    </w:p>
    <w:p w14:paraId="2CC5BC4E" w14:textId="77777777" w:rsidR="00F71C21" w:rsidRPr="00F71C21" w:rsidRDefault="00F71C21" w:rsidP="00AF47FA">
      <w:pPr>
        <w:tabs>
          <w:tab w:val="num" w:pos="1080"/>
        </w:tabs>
        <w:spacing w:after="0"/>
        <w:rPr>
          <w:rFonts w:ascii="Times New Roman" w:hAnsi="Times New Roman" w:cs="Times New Roman"/>
          <w:sz w:val="24"/>
        </w:rPr>
      </w:pPr>
    </w:p>
    <w:p w14:paraId="38D5BDE6" w14:textId="77777777" w:rsidR="00AF47FA" w:rsidRPr="00FE4A7B" w:rsidRDefault="00AF47FA" w:rsidP="00AF47FA">
      <w:pPr>
        <w:tabs>
          <w:tab w:val="num" w:pos="1080"/>
        </w:tabs>
        <w:spacing w:after="0"/>
        <w:rPr>
          <w:rFonts w:ascii="Times New Roman" w:hAnsi="Times New Roman" w:cs="Times New Roman"/>
          <w:sz w:val="24"/>
        </w:rPr>
      </w:pPr>
      <w:r w:rsidRPr="00FE4A7B">
        <w:rPr>
          <w:rFonts w:ascii="Times New Roman" w:hAnsi="Times New Roman" w:cs="Times New Roman"/>
          <w:sz w:val="24"/>
        </w:rPr>
        <w:t>When the necessity for a cost transfer is identified, a cost transfer journal is prepared at the department level (PI, designee or department administrator) and accompanied by the Cost Transfer Explanation Form</w:t>
      </w:r>
      <w:r w:rsidRPr="00AF47FA">
        <w:rPr>
          <w:rFonts w:ascii="Times New Roman" w:hAnsi="Times New Roman" w:cs="Times New Roman"/>
          <w:sz w:val="24"/>
        </w:rPr>
        <w:t xml:space="preserve"> and justification/documentation</w:t>
      </w:r>
      <w:r w:rsidRPr="00FE4A7B">
        <w:rPr>
          <w:rFonts w:ascii="Times New Roman" w:hAnsi="Times New Roman" w:cs="Times New Roman"/>
          <w:sz w:val="24"/>
        </w:rPr>
        <w:t>. Specific questions from this form must be answered depending on the timeliness of the transfer (“Timeliness” section for further explanation of cost transfer timeliness). To be approved, all cost transfers must be timely, documented and explained in detail using the Cost Transfer Explanation Form, adhere to the sponsor’s standards, and have all appropriate authorizing signatures. If the cost transfer is approved by OR, the cost transfer journal is forwarded to the Grants Accounting worklist for final review and posting to the general ledger.</w:t>
      </w:r>
    </w:p>
    <w:p w14:paraId="7AE2F7EB" w14:textId="77777777" w:rsidR="00583B59" w:rsidRPr="00AF47FA" w:rsidRDefault="00583B59" w:rsidP="00583B59">
      <w:pPr>
        <w:spacing w:after="0"/>
        <w:rPr>
          <w:rFonts w:ascii="Times New Roman" w:hAnsi="Times New Roman" w:cs="Times New Roman"/>
          <w:sz w:val="24"/>
        </w:rPr>
      </w:pPr>
    </w:p>
    <w:p w14:paraId="704DEAA1" w14:textId="77777777" w:rsidR="00583B59" w:rsidRPr="00AF47FA" w:rsidRDefault="00583B59" w:rsidP="00583B59">
      <w:pPr>
        <w:spacing w:after="0"/>
        <w:rPr>
          <w:rFonts w:ascii="Times New Roman" w:hAnsi="Times New Roman" w:cs="Times New Roman"/>
          <w:sz w:val="24"/>
        </w:rPr>
      </w:pPr>
      <w:r w:rsidRPr="00AF47FA">
        <w:rPr>
          <w:rFonts w:ascii="Times New Roman" w:hAnsi="Times New Roman" w:cs="Times New Roman"/>
          <w:sz w:val="24"/>
        </w:rPr>
        <w:t>Here are some examples of typical circumstances in which cost transfers are allowed:</w:t>
      </w:r>
    </w:p>
    <w:p w14:paraId="782F10DB" w14:textId="77777777" w:rsidR="00583B59" w:rsidRPr="00AF47FA" w:rsidRDefault="00583B59" w:rsidP="00D012A7">
      <w:pPr>
        <w:pStyle w:val="ListParagraph"/>
        <w:numPr>
          <w:ilvl w:val="0"/>
          <w:numId w:val="4"/>
        </w:numPr>
        <w:spacing w:after="0"/>
        <w:rPr>
          <w:rFonts w:ascii="Times New Roman" w:hAnsi="Times New Roman" w:cs="Times New Roman"/>
          <w:sz w:val="24"/>
        </w:rPr>
      </w:pPr>
      <w:r w:rsidRPr="00AF47FA">
        <w:rPr>
          <w:rFonts w:ascii="Times New Roman" w:hAnsi="Times New Roman" w:cs="Times New Roman"/>
          <w:sz w:val="24"/>
        </w:rPr>
        <w:t>Correction of a clerical error</w:t>
      </w:r>
    </w:p>
    <w:p w14:paraId="40A690D4" w14:textId="77777777" w:rsidR="00583B59" w:rsidRPr="00AF47FA" w:rsidRDefault="00583B59" w:rsidP="00D012A7">
      <w:pPr>
        <w:pStyle w:val="ListParagraph"/>
        <w:numPr>
          <w:ilvl w:val="0"/>
          <w:numId w:val="4"/>
        </w:numPr>
        <w:spacing w:after="0"/>
        <w:rPr>
          <w:rFonts w:ascii="Times New Roman" w:hAnsi="Times New Roman" w:cs="Times New Roman"/>
          <w:sz w:val="24"/>
        </w:rPr>
      </w:pPr>
      <w:r w:rsidRPr="00AF47FA">
        <w:rPr>
          <w:rFonts w:ascii="Times New Roman" w:hAnsi="Times New Roman" w:cs="Times New Roman"/>
          <w:sz w:val="24"/>
        </w:rPr>
        <w:t>Reallocation of expenses where multiple projects benefited</w:t>
      </w:r>
    </w:p>
    <w:p w14:paraId="510EE4D0" w14:textId="77777777" w:rsidR="00583B59" w:rsidRPr="00AF47FA" w:rsidRDefault="00583B59" w:rsidP="00D012A7">
      <w:pPr>
        <w:pStyle w:val="ListParagraph"/>
        <w:numPr>
          <w:ilvl w:val="0"/>
          <w:numId w:val="4"/>
        </w:numPr>
        <w:spacing w:after="0"/>
        <w:rPr>
          <w:rFonts w:ascii="Times New Roman" w:hAnsi="Times New Roman" w:cs="Times New Roman"/>
          <w:sz w:val="24"/>
        </w:rPr>
      </w:pPr>
      <w:r w:rsidRPr="00AF47FA">
        <w:rPr>
          <w:rFonts w:ascii="Times New Roman" w:hAnsi="Times New Roman" w:cs="Times New Roman"/>
          <w:sz w:val="24"/>
        </w:rPr>
        <w:t>Reallocation of shared resource costs</w:t>
      </w:r>
    </w:p>
    <w:p w14:paraId="436CEA8F" w14:textId="77777777" w:rsidR="00583B59" w:rsidRPr="00AF47FA" w:rsidRDefault="00583B59" w:rsidP="00D012A7">
      <w:pPr>
        <w:pStyle w:val="ListParagraph"/>
        <w:numPr>
          <w:ilvl w:val="0"/>
          <w:numId w:val="4"/>
        </w:numPr>
        <w:spacing w:after="0"/>
        <w:rPr>
          <w:rFonts w:ascii="Times New Roman" w:hAnsi="Times New Roman" w:cs="Times New Roman"/>
          <w:sz w:val="24"/>
        </w:rPr>
      </w:pPr>
      <w:r w:rsidRPr="00AF47FA">
        <w:rPr>
          <w:rFonts w:ascii="Times New Roman" w:hAnsi="Times New Roman" w:cs="Times New Roman"/>
          <w:sz w:val="24"/>
        </w:rPr>
        <w:t>Transfer of pre-award costs from divisional or discretionary project funds to a sponsored project</w:t>
      </w:r>
    </w:p>
    <w:p w14:paraId="446F5879" w14:textId="77777777" w:rsidR="00583B59" w:rsidRPr="00AF47FA" w:rsidRDefault="00583B59" w:rsidP="00D012A7">
      <w:pPr>
        <w:pStyle w:val="ListParagraph"/>
        <w:numPr>
          <w:ilvl w:val="0"/>
          <w:numId w:val="4"/>
        </w:numPr>
        <w:spacing w:after="0"/>
        <w:rPr>
          <w:rFonts w:ascii="Times New Roman" w:hAnsi="Times New Roman" w:cs="Times New Roman"/>
          <w:sz w:val="24"/>
        </w:rPr>
      </w:pPr>
      <w:r w:rsidRPr="00AF47FA">
        <w:rPr>
          <w:rFonts w:ascii="Times New Roman" w:hAnsi="Times New Roman" w:cs="Times New Roman"/>
          <w:sz w:val="24"/>
        </w:rPr>
        <w:t>Reallocation of a salary expense</w:t>
      </w:r>
    </w:p>
    <w:p w14:paraId="7EA202B4" w14:textId="77777777" w:rsidR="00583B59" w:rsidRPr="00AF47FA" w:rsidRDefault="00583B59" w:rsidP="00583B59">
      <w:pPr>
        <w:spacing w:after="0"/>
        <w:rPr>
          <w:rFonts w:ascii="Times New Roman" w:hAnsi="Times New Roman" w:cs="Times New Roman"/>
          <w:sz w:val="24"/>
        </w:rPr>
      </w:pPr>
    </w:p>
    <w:p w14:paraId="284EB10C" w14:textId="77777777" w:rsidR="00583B59" w:rsidRPr="00AF47FA" w:rsidRDefault="00583B59" w:rsidP="00583B59">
      <w:pPr>
        <w:spacing w:after="0"/>
        <w:rPr>
          <w:rFonts w:ascii="Times New Roman" w:hAnsi="Times New Roman" w:cs="Times New Roman"/>
          <w:sz w:val="24"/>
        </w:rPr>
      </w:pPr>
      <w:r w:rsidRPr="00AF47FA">
        <w:rPr>
          <w:rFonts w:ascii="Times New Roman" w:hAnsi="Times New Roman" w:cs="Times New Roman"/>
          <w:sz w:val="24"/>
        </w:rPr>
        <w:t>Here are some examples of typical circumstances in which cost transfers may not be allowed:</w:t>
      </w:r>
    </w:p>
    <w:p w14:paraId="6DEAE45C" w14:textId="77777777" w:rsidR="00583B59" w:rsidRPr="00AF47FA" w:rsidRDefault="00583B59" w:rsidP="00D012A7">
      <w:pPr>
        <w:pStyle w:val="ListParagraph"/>
        <w:numPr>
          <w:ilvl w:val="0"/>
          <w:numId w:val="5"/>
        </w:numPr>
        <w:spacing w:after="0"/>
        <w:rPr>
          <w:rFonts w:ascii="Times New Roman" w:hAnsi="Times New Roman" w:cs="Times New Roman"/>
          <w:sz w:val="24"/>
        </w:rPr>
      </w:pPr>
      <w:r w:rsidRPr="00AF47FA">
        <w:rPr>
          <w:rFonts w:ascii="Times New Roman" w:hAnsi="Times New Roman" w:cs="Times New Roman"/>
          <w:sz w:val="24"/>
        </w:rPr>
        <w:t>Reallocation of expenses because the grant has unexpended funds</w:t>
      </w:r>
    </w:p>
    <w:p w14:paraId="674796CE" w14:textId="77777777" w:rsidR="00583B59" w:rsidRPr="00AF47FA" w:rsidRDefault="00583B59" w:rsidP="00D012A7">
      <w:pPr>
        <w:pStyle w:val="ListParagraph"/>
        <w:numPr>
          <w:ilvl w:val="0"/>
          <w:numId w:val="5"/>
        </w:numPr>
        <w:spacing w:after="0"/>
        <w:rPr>
          <w:rFonts w:ascii="Times New Roman" w:hAnsi="Times New Roman" w:cs="Times New Roman"/>
          <w:sz w:val="24"/>
        </w:rPr>
      </w:pPr>
      <w:r w:rsidRPr="00AF47FA">
        <w:rPr>
          <w:rFonts w:ascii="Times New Roman" w:hAnsi="Times New Roman" w:cs="Times New Roman"/>
          <w:sz w:val="24"/>
        </w:rPr>
        <w:t>Reallocation of expenses because the clerical error was not noticed within a 90-calendar day period</w:t>
      </w:r>
    </w:p>
    <w:p w14:paraId="40714091" w14:textId="77777777" w:rsidR="00D012A7" w:rsidRPr="00AF47FA" w:rsidRDefault="00D012A7" w:rsidP="00583B59">
      <w:pPr>
        <w:spacing w:after="0"/>
        <w:rPr>
          <w:rFonts w:ascii="Times New Roman" w:hAnsi="Times New Roman" w:cs="Times New Roman"/>
          <w:b/>
          <w:sz w:val="24"/>
        </w:rPr>
      </w:pPr>
    </w:p>
    <w:p w14:paraId="53C6CB73" w14:textId="77777777" w:rsidR="00D012A7" w:rsidRDefault="00D012A7" w:rsidP="00D012A7">
      <w:pPr>
        <w:tabs>
          <w:tab w:val="num" w:pos="1080"/>
        </w:tabs>
        <w:spacing w:after="0"/>
        <w:rPr>
          <w:rFonts w:ascii="Times New Roman" w:hAnsi="Times New Roman" w:cs="Times New Roman"/>
          <w:b/>
          <w:sz w:val="32"/>
          <w:u w:val="single"/>
        </w:rPr>
      </w:pPr>
      <w:r w:rsidRPr="00F71C21">
        <w:rPr>
          <w:rFonts w:ascii="Times New Roman" w:hAnsi="Times New Roman" w:cs="Times New Roman"/>
          <w:b/>
          <w:sz w:val="28"/>
          <w:u w:val="single"/>
        </w:rPr>
        <w:t>Timeliness</w:t>
      </w:r>
    </w:p>
    <w:p w14:paraId="0C77CD47" w14:textId="77777777" w:rsidR="00F71C21" w:rsidRPr="00F71C21" w:rsidRDefault="00F71C21" w:rsidP="00D012A7">
      <w:pPr>
        <w:tabs>
          <w:tab w:val="num" w:pos="1080"/>
        </w:tabs>
        <w:spacing w:after="0"/>
        <w:rPr>
          <w:rFonts w:ascii="Times New Roman" w:hAnsi="Times New Roman" w:cs="Times New Roman"/>
          <w:b/>
          <w:sz w:val="24"/>
          <w:u w:val="single"/>
        </w:rPr>
      </w:pPr>
    </w:p>
    <w:p w14:paraId="6B0ACFBE" w14:textId="77777777" w:rsidR="00D012A7" w:rsidRPr="00FE4A7B" w:rsidRDefault="00D012A7" w:rsidP="00D012A7">
      <w:pPr>
        <w:tabs>
          <w:tab w:val="num" w:pos="1080"/>
        </w:tabs>
        <w:spacing w:after="0"/>
        <w:rPr>
          <w:rFonts w:ascii="Times New Roman" w:hAnsi="Times New Roman" w:cs="Times New Roman"/>
          <w:sz w:val="24"/>
        </w:rPr>
      </w:pPr>
      <w:r w:rsidRPr="00FE4A7B">
        <w:rPr>
          <w:rFonts w:ascii="Times New Roman" w:hAnsi="Times New Roman" w:cs="Times New Roman"/>
          <w:sz w:val="24"/>
        </w:rPr>
        <w:t>All payroll and other expense (non-payroll) cost transfers related to sponsored awards should be submitted within the earlier of:</w:t>
      </w:r>
    </w:p>
    <w:p w14:paraId="18D099A5" w14:textId="77777777" w:rsidR="00D012A7" w:rsidRPr="00FE4A7B" w:rsidRDefault="00D012A7" w:rsidP="00D012A7">
      <w:pPr>
        <w:tabs>
          <w:tab w:val="num" w:pos="1080"/>
        </w:tabs>
        <w:spacing w:after="0"/>
        <w:rPr>
          <w:rFonts w:ascii="Times New Roman" w:hAnsi="Times New Roman" w:cs="Times New Roman"/>
          <w:sz w:val="24"/>
        </w:rPr>
      </w:pPr>
    </w:p>
    <w:p w14:paraId="15A31EE5" w14:textId="77777777" w:rsidR="00D012A7" w:rsidRPr="00FE4A7B" w:rsidRDefault="00D012A7" w:rsidP="00D012A7">
      <w:pPr>
        <w:numPr>
          <w:ilvl w:val="0"/>
          <w:numId w:val="1"/>
        </w:numPr>
        <w:tabs>
          <w:tab w:val="num" w:pos="1080"/>
        </w:tabs>
        <w:spacing w:after="0"/>
        <w:contextualSpacing/>
        <w:rPr>
          <w:rFonts w:ascii="Times New Roman" w:hAnsi="Times New Roman" w:cs="Times New Roman"/>
          <w:sz w:val="24"/>
        </w:rPr>
      </w:pPr>
      <w:r w:rsidRPr="00FE4A7B">
        <w:rPr>
          <w:rFonts w:ascii="Times New Roman" w:hAnsi="Times New Roman" w:cs="Times New Roman"/>
          <w:sz w:val="24"/>
        </w:rPr>
        <w:t xml:space="preserve">90 days from the original date the transaction was posted in the University’s general ledger, or; </w:t>
      </w:r>
    </w:p>
    <w:p w14:paraId="2DE4E367" w14:textId="77777777" w:rsidR="00D012A7" w:rsidRPr="00FE4A7B" w:rsidRDefault="00D012A7" w:rsidP="00D012A7">
      <w:pPr>
        <w:spacing w:after="0"/>
        <w:ind w:left="720"/>
        <w:contextualSpacing/>
        <w:rPr>
          <w:rFonts w:ascii="Times New Roman" w:hAnsi="Times New Roman" w:cs="Times New Roman"/>
          <w:sz w:val="24"/>
        </w:rPr>
      </w:pPr>
    </w:p>
    <w:p w14:paraId="40F4A056" w14:textId="77777777" w:rsidR="00D012A7" w:rsidRPr="00FE4A7B" w:rsidRDefault="00D012A7" w:rsidP="00D012A7">
      <w:pPr>
        <w:numPr>
          <w:ilvl w:val="0"/>
          <w:numId w:val="1"/>
        </w:numPr>
        <w:tabs>
          <w:tab w:val="num" w:pos="1080"/>
        </w:tabs>
        <w:spacing w:after="0"/>
        <w:contextualSpacing/>
        <w:rPr>
          <w:rFonts w:ascii="Times New Roman" w:hAnsi="Times New Roman" w:cs="Times New Roman"/>
          <w:sz w:val="24"/>
        </w:rPr>
      </w:pPr>
      <w:r w:rsidRPr="00FE4A7B">
        <w:rPr>
          <w:rFonts w:ascii="Times New Roman" w:hAnsi="Times New Roman" w:cs="Times New Roman"/>
          <w:sz w:val="24"/>
        </w:rPr>
        <w:t>Within the reporting deadlines prescribed by the sponsor of the project terminating.</w:t>
      </w:r>
    </w:p>
    <w:p w14:paraId="03B7ECBF" w14:textId="77777777" w:rsidR="00D012A7" w:rsidRPr="00FE4A7B" w:rsidRDefault="00D012A7" w:rsidP="00D012A7">
      <w:pPr>
        <w:tabs>
          <w:tab w:val="num" w:pos="1080"/>
        </w:tabs>
        <w:spacing w:after="0"/>
        <w:rPr>
          <w:rFonts w:ascii="Times New Roman" w:hAnsi="Times New Roman" w:cs="Times New Roman"/>
          <w:sz w:val="24"/>
        </w:rPr>
      </w:pPr>
    </w:p>
    <w:p w14:paraId="42020546" w14:textId="77777777" w:rsidR="00D012A7" w:rsidRPr="00FE4A7B" w:rsidRDefault="00D012A7" w:rsidP="00D012A7">
      <w:pPr>
        <w:tabs>
          <w:tab w:val="num" w:pos="1080"/>
        </w:tabs>
        <w:spacing w:after="0"/>
        <w:rPr>
          <w:rFonts w:ascii="Times New Roman" w:hAnsi="Times New Roman" w:cs="Times New Roman"/>
          <w:sz w:val="24"/>
        </w:rPr>
      </w:pPr>
      <w:r w:rsidRPr="00FE4A7B">
        <w:rPr>
          <w:rFonts w:ascii="Times New Roman" w:hAnsi="Times New Roman" w:cs="Times New Roman"/>
          <w:sz w:val="24"/>
        </w:rPr>
        <w:t xml:space="preserve">If a transfer is required after the 90-day period, more stringent guidelines must be met to satisfy sponsor regulations. Examples include, but are not limited to, delays in award notification or the PIs departure or absence due to sabbatical leave or other extenuating circumstances. Generally, </w:t>
      </w:r>
      <w:r w:rsidR="00C30225">
        <w:rPr>
          <w:rFonts w:ascii="Times New Roman" w:hAnsi="Times New Roman" w:cs="Times New Roman"/>
          <w:sz w:val="24"/>
        </w:rPr>
        <w:t xml:space="preserve">the </w:t>
      </w:r>
      <w:r w:rsidRPr="00FE4A7B">
        <w:rPr>
          <w:rFonts w:ascii="Times New Roman" w:hAnsi="Times New Roman" w:cs="Times New Roman"/>
          <w:sz w:val="24"/>
        </w:rPr>
        <w:t xml:space="preserve">Office of Research (OR) will not process a cost transfer submitted more than 90 days after </w:t>
      </w:r>
      <w:r w:rsidRPr="00FE4A7B">
        <w:rPr>
          <w:rFonts w:ascii="Times New Roman" w:hAnsi="Times New Roman" w:cs="Times New Roman"/>
          <w:sz w:val="24"/>
        </w:rPr>
        <w:lastRenderedPageBreak/>
        <w:t>the end of the grant year in which the original transaction was posted to the University’s general ledger.</w:t>
      </w:r>
    </w:p>
    <w:p w14:paraId="62911682" w14:textId="77777777" w:rsidR="00D012A7" w:rsidRPr="00FE4A7B" w:rsidRDefault="00D012A7" w:rsidP="00D012A7">
      <w:pPr>
        <w:tabs>
          <w:tab w:val="num" w:pos="1080"/>
        </w:tabs>
        <w:spacing w:after="0"/>
        <w:rPr>
          <w:rFonts w:ascii="Times New Roman" w:hAnsi="Times New Roman" w:cs="Times New Roman"/>
          <w:sz w:val="24"/>
        </w:rPr>
      </w:pPr>
    </w:p>
    <w:p w14:paraId="73196F63" w14:textId="77777777" w:rsidR="00D012A7" w:rsidRPr="00FE4A7B" w:rsidRDefault="00D012A7" w:rsidP="00D012A7">
      <w:pPr>
        <w:tabs>
          <w:tab w:val="num" w:pos="1080"/>
        </w:tabs>
        <w:spacing w:after="0"/>
        <w:rPr>
          <w:rFonts w:ascii="Times New Roman" w:hAnsi="Times New Roman" w:cs="Times New Roman"/>
          <w:sz w:val="24"/>
        </w:rPr>
      </w:pPr>
      <w:r w:rsidRPr="00FE4A7B">
        <w:rPr>
          <w:rFonts w:ascii="Times New Roman" w:hAnsi="Times New Roman" w:cs="Times New Roman"/>
          <w:sz w:val="24"/>
        </w:rPr>
        <w:t>A pattern of frequent cost transfers will be subject to additional review.</w:t>
      </w:r>
    </w:p>
    <w:p w14:paraId="31D313F7" w14:textId="77777777" w:rsidR="00D012A7" w:rsidRPr="00FE4A7B" w:rsidRDefault="00D012A7" w:rsidP="00D012A7">
      <w:pPr>
        <w:tabs>
          <w:tab w:val="num" w:pos="1080"/>
        </w:tabs>
        <w:spacing w:after="0"/>
        <w:rPr>
          <w:rFonts w:ascii="Times New Roman" w:hAnsi="Times New Roman" w:cs="Times New Roman"/>
          <w:sz w:val="24"/>
        </w:rPr>
      </w:pPr>
    </w:p>
    <w:p w14:paraId="09B1ACE5" w14:textId="77777777" w:rsidR="00D012A7" w:rsidRDefault="00D012A7" w:rsidP="00D012A7">
      <w:pPr>
        <w:tabs>
          <w:tab w:val="num" w:pos="1080"/>
        </w:tabs>
        <w:spacing w:after="0"/>
        <w:rPr>
          <w:rFonts w:ascii="Times New Roman" w:hAnsi="Times New Roman" w:cs="Times New Roman"/>
          <w:b/>
          <w:sz w:val="28"/>
          <w:u w:val="single"/>
        </w:rPr>
      </w:pPr>
      <w:r w:rsidRPr="00FE4A7B">
        <w:rPr>
          <w:rFonts w:ascii="Times New Roman" w:hAnsi="Times New Roman" w:cs="Times New Roman"/>
          <w:b/>
          <w:sz w:val="28"/>
          <w:u w:val="single"/>
        </w:rPr>
        <w:t>Documentation and Explanation</w:t>
      </w:r>
    </w:p>
    <w:p w14:paraId="00428F95" w14:textId="77777777" w:rsidR="00F71C21" w:rsidRPr="00F71C21" w:rsidRDefault="00F71C21" w:rsidP="00D012A7">
      <w:pPr>
        <w:tabs>
          <w:tab w:val="num" w:pos="1080"/>
        </w:tabs>
        <w:spacing w:after="0"/>
        <w:rPr>
          <w:rFonts w:ascii="Times New Roman" w:hAnsi="Times New Roman" w:cs="Times New Roman"/>
          <w:b/>
          <w:sz w:val="24"/>
          <w:u w:val="single"/>
        </w:rPr>
      </w:pPr>
    </w:p>
    <w:p w14:paraId="148AF80F" w14:textId="77777777" w:rsidR="00D012A7" w:rsidRPr="00FE4A7B" w:rsidRDefault="00D012A7" w:rsidP="00D012A7">
      <w:pPr>
        <w:tabs>
          <w:tab w:val="num" w:pos="1080"/>
        </w:tabs>
        <w:spacing w:after="0"/>
        <w:rPr>
          <w:rFonts w:ascii="Times New Roman" w:hAnsi="Times New Roman" w:cs="Times New Roman"/>
          <w:sz w:val="24"/>
        </w:rPr>
      </w:pPr>
      <w:r w:rsidRPr="00FE4A7B">
        <w:rPr>
          <w:rFonts w:ascii="Times New Roman" w:hAnsi="Times New Roman" w:cs="Times New Roman"/>
          <w:sz w:val="24"/>
        </w:rPr>
        <w:t>All cost transfers must include a detailed explanation and justification (e.g., rationale for allocation among projects) for the transfer (</w:t>
      </w:r>
      <w:hyperlink r:id="rId9" w:history="1">
        <w:r w:rsidRPr="006B6530">
          <w:rPr>
            <w:rStyle w:val="Hyperlink"/>
            <w:rFonts w:ascii="Times New Roman" w:hAnsi="Times New Roman" w:cs="Times New Roman"/>
            <w:sz w:val="24"/>
          </w:rPr>
          <w:t>Cost Transfer Explanation Form</w:t>
        </w:r>
      </w:hyperlink>
      <w:r w:rsidRPr="00FE4A7B">
        <w:rPr>
          <w:rFonts w:ascii="Times New Roman" w:hAnsi="Times New Roman" w:cs="Times New Roman"/>
          <w:sz w:val="24"/>
        </w:rPr>
        <w:t>), as well as any supporting documentation that fully explains how the error occurred. If a transfer is to correct an error, an explanation that merely states that the transfer was made to “correct an error” is not sufficient.</w:t>
      </w:r>
    </w:p>
    <w:p w14:paraId="325B2261" w14:textId="77777777" w:rsidR="00D012A7" w:rsidRPr="00FE4A7B" w:rsidRDefault="00D012A7" w:rsidP="00D012A7">
      <w:pPr>
        <w:tabs>
          <w:tab w:val="num" w:pos="1080"/>
        </w:tabs>
        <w:spacing w:after="0"/>
        <w:rPr>
          <w:rFonts w:ascii="Times New Roman" w:hAnsi="Times New Roman" w:cs="Times New Roman"/>
          <w:sz w:val="24"/>
        </w:rPr>
      </w:pPr>
    </w:p>
    <w:p w14:paraId="6D42BDA8" w14:textId="77777777" w:rsidR="00D012A7" w:rsidRDefault="00D012A7" w:rsidP="00D012A7">
      <w:pPr>
        <w:tabs>
          <w:tab w:val="num" w:pos="1080"/>
        </w:tabs>
        <w:spacing w:after="0"/>
        <w:rPr>
          <w:rFonts w:ascii="Times New Roman" w:hAnsi="Times New Roman" w:cs="Times New Roman"/>
          <w:sz w:val="24"/>
        </w:rPr>
      </w:pPr>
      <w:r w:rsidRPr="005765EF">
        <w:rPr>
          <w:rFonts w:ascii="Times New Roman" w:hAnsi="Times New Roman" w:cs="Times New Roman"/>
          <w:sz w:val="24"/>
        </w:rPr>
        <w:t>The Cost Transfer Explanation forms must have the following questions answered; if over 90 days, answer all 4 questions):</w:t>
      </w:r>
    </w:p>
    <w:p w14:paraId="3472C0F4" w14:textId="77777777" w:rsidR="005765EF" w:rsidRPr="00FE4A7B" w:rsidRDefault="005765EF" w:rsidP="00D012A7">
      <w:pPr>
        <w:tabs>
          <w:tab w:val="num" w:pos="1080"/>
        </w:tabs>
        <w:spacing w:after="0"/>
        <w:rPr>
          <w:rFonts w:ascii="Times New Roman" w:hAnsi="Times New Roman" w:cs="Times New Roman"/>
          <w:sz w:val="24"/>
        </w:rPr>
      </w:pPr>
    </w:p>
    <w:p w14:paraId="31613246" w14:textId="77777777" w:rsidR="00D012A7" w:rsidRDefault="005765EF" w:rsidP="00D012A7">
      <w:pPr>
        <w:tabs>
          <w:tab w:val="num" w:pos="1080"/>
        </w:tabs>
        <w:spacing w:after="0"/>
        <w:rPr>
          <w:rFonts w:ascii="Times New Roman" w:hAnsi="Times New Roman" w:cs="Times New Roman"/>
          <w:sz w:val="24"/>
        </w:rPr>
      </w:pPr>
      <w:r>
        <w:rPr>
          <w:rFonts w:ascii="Times New Roman" w:hAnsi="Times New Roman" w:cs="Times New Roman"/>
          <w:sz w:val="24"/>
        </w:rPr>
        <w:t>A</w:t>
      </w:r>
      <w:r w:rsidRPr="005765EF">
        <w:rPr>
          <w:rFonts w:ascii="Times New Roman" w:hAnsi="Times New Roman" w:cs="Times New Roman"/>
          <w:sz w:val="24"/>
        </w:rPr>
        <w:t>nswer questions 1 and 2</w:t>
      </w:r>
      <w:r>
        <w:rPr>
          <w:rFonts w:ascii="Times New Roman" w:hAnsi="Times New Roman" w:cs="Times New Roman"/>
          <w:sz w:val="24"/>
        </w:rPr>
        <w:t xml:space="preserve"> when </w:t>
      </w:r>
      <w:r w:rsidRPr="005765EF">
        <w:rPr>
          <w:rFonts w:ascii="Times New Roman" w:hAnsi="Times New Roman" w:cs="Times New Roman"/>
          <w:sz w:val="24"/>
        </w:rPr>
        <w:t xml:space="preserve">a transfer is made within 90 calendar days from the original </w:t>
      </w:r>
      <w:r>
        <w:rPr>
          <w:rFonts w:ascii="Times New Roman" w:hAnsi="Times New Roman" w:cs="Times New Roman"/>
          <w:sz w:val="24"/>
        </w:rPr>
        <w:t xml:space="preserve">general ledger </w:t>
      </w:r>
      <w:r w:rsidRPr="005765EF">
        <w:rPr>
          <w:rFonts w:ascii="Times New Roman" w:hAnsi="Times New Roman" w:cs="Times New Roman"/>
          <w:sz w:val="24"/>
        </w:rPr>
        <w:t>transaction post</w:t>
      </w:r>
      <w:r>
        <w:rPr>
          <w:rFonts w:ascii="Times New Roman" w:hAnsi="Times New Roman" w:cs="Times New Roman"/>
          <w:sz w:val="24"/>
        </w:rPr>
        <w:t>ing date:</w:t>
      </w:r>
    </w:p>
    <w:p w14:paraId="78D274E7" w14:textId="77777777" w:rsidR="005765EF" w:rsidRPr="00FE4A7B" w:rsidRDefault="005765EF" w:rsidP="00D012A7">
      <w:pPr>
        <w:tabs>
          <w:tab w:val="num" w:pos="1080"/>
        </w:tabs>
        <w:spacing w:after="0"/>
        <w:rPr>
          <w:rFonts w:ascii="Times New Roman" w:hAnsi="Times New Roman" w:cs="Times New Roman"/>
          <w:sz w:val="24"/>
        </w:rPr>
      </w:pPr>
    </w:p>
    <w:p w14:paraId="3CDBBB14" w14:textId="77777777" w:rsidR="00FE4A7B" w:rsidRPr="00FE4A7B" w:rsidRDefault="00D012A7" w:rsidP="00D012A7">
      <w:pPr>
        <w:numPr>
          <w:ilvl w:val="0"/>
          <w:numId w:val="2"/>
        </w:numPr>
        <w:tabs>
          <w:tab w:val="num" w:pos="1080"/>
        </w:tabs>
        <w:spacing w:after="0"/>
        <w:contextualSpacing/>
        <w:rPr>
          <w:rFonts w:ascii="Times New Roman" w:hAnsi="Times New Roman" w:cs="Times New Roman"/>
          <w:sz w:val="24"/>
        </w:rPr>
      </w:pPr>
      <w:r w:rsidRPr="00FE4A7B">
        <w:rPr>
          <w:rFonts w:ascii="Times New Roman" w:hAnsi="Times New Roman" w:cs="Times New Roman"/>
          <w:sz w:val="24"/>
        </w:rPr>
        <w:t>Why was the expense originally charged to the account from which it is now being transferred?</w:t>
      </w:r>
    </w:p>
    <w:p w14:paraId="54A4BD2A" w14:textId="77777777" w:rsidR="00D012A7" w:rsidRDefault="00D012A7" w:rsidP="00D012A7">
      <w:pPr>
        <w:numPr>
          <w:ilvl w:val="0"/>
          <w:numId w:val="2"/>
        </w:numPr>
        <w:tabs>
          <w:tab w:val="num" w:pos="1080"/>
        </w:tabs>
        <w:spacing w:after="0"/>
        <w:contextualSpacing/>
        <w:rPr>
          <w:rFonts w:ascii="Times New Roman" w:hAnsi="Times New Roman" w:cs="Times New Roman"/>
          <w:sz w:val="24"/>
        </w:rPr>
      </w:pPr>
      <w:r w:rsidRPr="00FE4A7B">
        <w:rPr>
          <w:rFonts w:ascii="Times New Roman" w:hAnsi="Times New Roman" w:cs="Times New Roman"/>
          <w:sz w:val="24"/>
        </w:rPr>
        <w:t>Why should this charge be transferred to the proposed receiving account?</w:t>
      </w:r>
    </w:p>
    <w:p w14:paraId="4EF9D85D" w14:textId="77777777" w:rsidR="005765EF" w:rsidRDefault="005765EF" w:rsidP="005765EF">
      <w:pPr>
        <w:spacing w:after="0"/>
        <w:contextualSpacing/>
        <w:rPr>
          <w:rFonts w:ascii="Times New Roman" w:hAnsi="Times New Roman" w:cs="Times New Roman"/>
          <w:sz w:val="24"/>
        </w:rPr>
      </w:pPr>
    </w:p>
    <w:p w14:paraId="61EE3509" w14:textId="77777777" w:rsidR="005765EF" w:rsidRPr="005765EF" w:rsidRDefault="005765EF" w:rsidP="005765EF">
      <w:pPr>
        <w:spacing w:after="0"/>
        <w:contextualSpacing/>
        <w:rPr>
          <w:rFonts w:ascii="Times New Roman" w:hAnsi="Times New Roman" w:cs="Times New Roman"/>
          <w:sz w:val="24"/>
        </w:rPr>
      </w:pPr>
      <w:r w:rsidRPr="005765EF">
        <w:rPr>
          <w:rFonts w:ascii="Times New Roman" w:hAnsi="Times New Roman" w:cs="Times New Roman"/>
          <w:sz w:val="24"/>
        </w:rPr>
        <w:t xml:space="preserve">Answer questions </w:t>
      </w:r>
      <w:r>
        <w:rPr>
          <w:rFonts w:ascii="Times New Roman" w:hAnsi="Times New Roman" w:cs="Times New Roman"/>
          <w:sz w:val="24"/>
        </w:rPr>
        <w:t>3</w:t>
      </w:r>
      <w:r w:rsidRPr="005765EF">
        <w:rPr>
          <w:rFonts w:ascii="Times New Roman" w:hAnsi="Times New Roman" w:cs="Times New Roman"/>
          <w:sz w:val="24"/>
        </w:rPr>
        <w:t xml:space="preserve"> and </w:t>
      </w:r>
      <w:r>
        <w:rPr>
          <w:rFonts w:ascii="Times New Roman" w:hAnsi="Times New Roman" w:cs="Times New Roman"/>
          <w:sz w:val="24"/>
        </w:rPr>
        <w:t>4</w:t>
      </w:r>
      <w:r w:rsidRPr="005765EF">
        <w:rPr>
          <w:rFonts w:ascii="Times New Roman" w:hAnsi="Times New Roman" w:cs="Times New Roman"/>
          <w:sz w:val="24"/>
        </w:rPr>
        <w:t xml:space="preserve"> </w:t>
      </w:r>
      <w:r w:rsidR="001020C9">
        <w:rPr>
          <w:rFonts w:ascii="Times New Roman" w:hAnsi="Times New Roman" w:cs="Times New Roman"/>
          <w:sz w:val="24"/>
        </w:rPr>
        <w:t xml:space="preserve">(in addition to questions 1 &amp; 2) </w:t>
      </w:r>
      <w:r w:rsidRPr="005765EF">
        <w:rPr>
          <w:rFonts w:ascii="Times New Roman" w:hAnsi="Times New Roman" w:cs="Times New Roman"/>
          <w:sz w:val="24"/>
        </w:rPr>
        <w:t xml:space="preserve">when a transfer is made </w:t>
      </w:r>
      <w:r>
        <w:rPr>
          <w:rFonts w:ascii="Times New Roman" w:hAnsi="Times New Roman" w:cs="Times New Roman"/>
          <w:sz w:val="24"/>
        </w:rPr>
        <w:t xml:space="preserve">more than </w:t>
      </w:r>
      <w:r w:rsidRPr="005765EF">
        <w:rPr>
          <w:rFonts w:ascii="Times New Roman" w:hAnsi="Times New Roman" w:cs="Times New Roman"/>
          <w:sz w:val="24"/>
        </w:rPr>
        <w:t>90 calendar days from the original general ledger transaction posting date</w:t>
      </w:r>
    </w:p>
    <w:p w14:paraId="0A757E87" w14:textId="77777777" w:rsidR="005765EF" w:rsidRPr="00FE4A7B" w:rsidRDefault="005765EF" w:rsidP="005765EF">
      <w:pPr>
        <w:spacing w:after="0"/>
        <w:contextualSpacing/>
        <w:rPr>
          <w:rFonts w:ascii="Times New Roman" w:hAnsi="Times New Roman" w:cs="Times New Roman"/>
          <w:sz w:val="24"/>
        </w:rPr>
      </w:pPr>
    </w:p>
    <w:p w14:paraId="5883B5DE" w14:textId="77777777" w:rsidR="00D012A7" w:rsidRPr="00FE4A7B" w:rsidRDefault="00D012A7" w:rsidP="00D012A7">
      <w:pPr>
        <w:numPr>
          <w:ilvl w:val="0"/>
          <w:numId w:val="2"/>
        </w:numPr>
        <w:tabs>
          <w:tab w:val="num" w:pos="1080"/>
        </w:tabs>
        <w:spacing w:after="0"/>
        <w:contextualSpacing/>
        <w:rPr>
          <w:rFonts w:ascii="Times New Roman" w:hAnsi="Times New Roman" w:cs="Times New Roman"/>
          <w:sz w:val="24"/>
        </w:rPr>
      </w:pPr>
      <w:r w:rsidRPr="00FE4A7B">
        <w:rPr>
          <w:rFonts w:ascii="Times New Roman" w:hAnsi="Times New Roman" w:cs="Times New Roman"/>
          <w:sz w:val="24"/>
        </w:rPr>
        <w:t>Why is the cost transfer being requested more than 90 calendar days from when the original transaction was posted in the University’s general ledger?</w:t>
      </w:r>
    </w:p>
    <w:p w14:paraId="4FE4E1A9" w14:textId="77777777" w:rsidR="00D012A7" w:rsidRPr="00FE4A7B" w:rsidRDefault="00D012A7" w:rsidP="00D012A7">
      <w:pPr>
        <w:numPr>
          <w:ilvl w:val="0"/>
          <w:numId w:val="2"/>
        </w:numPr>
        <w:tabs>
          <w:tab w:val="num" w:pos="1080"/>
        </w:tabs>
        <w:spacing w:after="0"/>
        <w:contextualSpacing/>
        <w:rPr>
          <w:rFonts w:ascii="Times New Roman" w:hAnsi="Times New Roman" w:cs="Times New Roman"/>
          <w:sz w:val="24"/>
        </w:rPr>
      </w:pPr>
      <w:r w:rsidRPr="00FE4A7B">
        <w:rPr>
          <w:rFonts w:ascii="Times New Roman" w:hAnsi="Times New Roman" w:cs="Times New Roman"/>
          <w:sz w:val="24"/>
        </w:rPr>
        <w:t>What action will be taken to eliminate the future need for cost transfers of this type? Is this action being taken?</w:t>
      </w:r>
    </w:p>
    <w:p w14:paraId="1AB1EC56" w14:textId="77777777" w:rsidR="00D012A7" w:rsidRPr="00FE4A7B" w:rsidRDefault="00D012A7" w:rsidP="00D012A7">
      <w:pPr>
        <w:tabs>
          <w:tab w:val="num" w:pos="1080"/>
        </w:tabs>
        <w:spacing w:after="0"/>
        <w:rPr>
          <w:rFonts w:ascii="Times New Roman" w:hAnsi="Times New Roman" w:cs="Times New Roman"/>
          <w:sz w:val="24"/>
        </w:rPr>
      </w:pPr>
    </w:p>
    <w:p w14:paraId="36C44DD9" w14:textId="77777777" w:rsidR="00D012A7" w:rsidRPr="00FE4A7B" w:rsidRDefault="00D012A7" w:rsidP="00D012A7">
      <w:pPr>
        <w:tabs>
          <w:tab w:val="num" w:pos="1080"/>
        </w:tabs>
        <w:spacing w:after="0"/>
        <w:rPr>
          <w:rFonts w:ascii="Times New Roman" w:hAnsi="Times New Roman" w:cs="Times New Roman"/>
          <w:sz w:val="24"/>
        </w:rPr>
      </w:pPr>
      <w:r w:rsidRPr="00FE4A7B">
        <w:rPr>
          <w:rFonts w:ascii="Times New Roman" w:hAnsi="Times New Roman" w:cs="Times New Roman"/>
          <w:sz w:val="24"/>
        </w:rPr>
        <w:t xml:space="preserve">In the instance a cost transfer is required to correct a previously processed cost transfer journal, the date the original transaction was posted to the general ledger must be used for counting purposes and not the date of the previous cost transfer. Approvals for cost transfers submitted later than 90 calendar days will only be granted in extenuating circumstances. </w:t>
      </w:r>
    </w:p>
    <w:p w14:paraId="23EB56EC" w14:textId="77777777" w:rsidR="00D012A7" w:rsidRPr="00FE4A7B" w:rsidRDefault="00D012A7" w:rsidP="00D012A7">
      <w:pPr>
        <w:tabs>
          <w:tab w:val="num" w:pos="1080"/>
        </w:tabs>
        <w:spacing w:after="0"/>
        <w:rPr>
          <w:rFonts w:ascii="Times New Roman" w:hAnsi="Times New Roman" w:cs="Times New Roman"/>
          <w:sz w:val="24"/>
        </w:rPr>
      </w:pPr>
    </w:p>
    <w:p w14:paraId="16727474" w14:textId="77777777" w:rsidR="00D012A7" w:rsidRPr="00FE4A7B" w:rsidRDefault="00D012A7" w:rsidP="00D012A7">
      <w:pPr>
        <w:tabs>
          <w:tab w:val="num" w:pos="1080"/>
        </w:tabs>
        <w:spacing w:after="0"/>
        <w:rPr>
          <w:rFonts w:ascii="Times New Roman" w:hAnsi="Times New Roman" w:cs="Times New Roman"/>
          <w:sz w:val="24"/>
        </w:rPr>
      </w:pPr>
      <w:r w:rsidRPr="00FE4A7B">
        <w:rPr>
          <w:rFonts w:ascii="Times New Roman" w:hAnsi="Times New Roman" w:cs="Times New Roman"/>
          <w:sz w:val="24"/>
        </w:rPr>
        <w:t>The PI is also responsible for maintaining the related records (see “Records Retention” for further explanation relating to requirements for maintaining documentation). OR must determine whether adequate documentation has been provided by the PI and may require additional documentation or information.</w:t>
      </w:r>
    </w:p>
    <w:p w14:paraId="3FEA3C04" w14:textId="77777777" w:rsidR="00D012A7" w:rsidRPr="00FE4A7B" w:rsidRDefault="00D012A7" w:rsidP="00D012A7">
      <w:pPr>
        <w:tabs>
          <w:tab w:val="num" w:pos="1080"/>
        </w:tabs>
        <w:spacing w:after="0"/>
        <w:rPr>
          <w:rFonts w:ascii="Times New Roman" w:hAnsi="Times New Roman" w:cs="Times New Roman"/>
          <w:b/>
          <w:sz w:val="24"/>
        </w:rPr>
      </w:pPr>
    </w:p>
    <w:p w14:paraId="180D2FEF" w14:textId="77777777" w:rsidR="00D012A7" w:rsidRPr="00FE4A7B" w:rsidRDefault="00D012A7" w:rsidP="00D012A7">
      <w:pPr>
        <w:tabs>
          <w:tab w:val="num" w:pos="1080"/>
        </w:tabs>
        <w:spacing w:after="0"/>
        <w:rPr>
          <w:rFonts w:ascii="Times New Roman" w:hAnsi="Times New Roman" w:cs="Times New Roman"/>
          <w:sz w:val="24"/>
        </w:rPr>
      </w:pPr>
      <w:r w:rsidRPr="00FE4A7B">
        <w:rPr>
          <w:rFonts w:ascii="Times New Roman" w:hAnsi="Times New Roman" w:cs="Times New Roman"/>
          <w:sz w:val="24"/>
        </w:rPr>
        <w:t xml:space="preserve">In the examination of expenditure transfers, auditors are likely to review and request additional documentation for transfers involving budgets in a deficit condition or those having unexpended </w:t>
      </w:r>
      <w:r w:rsidRPr="00FE4A7B">
        <w:rPr>
          <w:rFonts w:ascii="Times New Roman" w:hAnsi="Times New Roman" w:cs="Times New Roman"/>
          <w:sz w:val="24"/>
        </w:rPr>
        <w:lastRenderedPageBreak/>
        <w:t>funds at the expiration date. If such conditions exist, it is necessary to provide evidence that the transfer is not for reasons of budgetary convenience.</w:t>
      </w:r>
    </w:p>
    <w:p w14:paraId="4CF4AC6E" w14:textId="77777777" w:rsidR="00D012A7" w:rsidRPr="00FE4A7B" w:rsidRDefault="00D012A7" w:rsidP="00D012A7">
      <w:pPr>
        <w:tabs>
          <w:tab w:val="num" w:pos="1080"/>
        </w:tabs>
        <w:spacing w:after="0"/>
        <w:rPr>
          <w:rFonts w:ascii="Times New Roman" w:hAnsi="Times New Roman" w:cs="Times New Roman"/>
          <w:sz w:val="24"/>
        </w:rPr>
      </w:pPr>
    </w:p>
    <w:p w14:paraId="6187D22C" w14:textId="77777777" w:rsidR="00D012A7" w:rsidRPr="00FE4A7B" w:rsidRDefault="00D012A7" w:rsidP="00D012A7">
      <w:pPr>
        <w:tabs>
          <w:tab w:val="num" w:pos="1080"/>
        </w:tabs>
        <w:spacing w:after="0"/>
        <w:rPr>
          <w:rFonts w:ascii="Times New Roman" w:hAnsi="Times New Roman" w:cs="Times New Roman"/>
          <w:sz w:val="24"/>
        </w:rPr>
      </w:pPr>
      <w:r w:rsidRPr="00FE4A7B">
        <w:rPr>
          <w:rFonts w:ascii="Times New Roman" w:hAnsi="Times New Roman" w:cs="Times New Roman"/>
          <w:sz w:val="24"/>
        </w:rPr>
        <w:t>In the case of a salary cost transfer, the final payroll charges must agree with the effort certification report.  See “Effort Reporting” guidance for further information relating to effort reporting.</w:t>
      </w:r>
    </w:p>
    <w:p w14:paraId="3296D680" w14:textId="77777777" w:rsidR="00D012A7" w:rsidRPr="00AF47FA" w:rsidRDefault="00D012A7" w:rsidP="00D012A7">
      <w:pPr>
        <w:spacing w:after="0"/>
        <w:rPr>
          <w:rFonts w:ascii="Times New Roman" w:hAnsi="Times New Roman" w:cs="Times New Roman"/>
          <w:b/>
          <w:sz w:val="24"/>
        </w:rPr>
      </w:pPr>
    </w:p>
    <w:p w14:paraId="5FAFB148" w14:textId="77777777" w:rsidR="00EF05B7" w:rsidRDefault="00EF05B7" w:rsidP="00EF05B7">
      <w:pPr>
        <w:tabs>
          <w:tab w:val="num" w:pos="1080"/>
        </w:tabs>
        <w:spacing w:after="0"/>
        <w:rPr>
          <w:rFonts w:ascii="Times New Roman" w:hAnsi="Times New Roman" w:cs="Times New Roman"/>
          <w:b/>
          <w:sz w:val="24"/>
        </w:rPr>
      </w:pPr>
      <w:r w:rsidRPr="00FE4A7B">
        <w:rPr>
          <w:rFonts w:ascii="Times New Roman" w:hAnsi="Times New Roman" w:cs="Times New Roman"/>
          <w:b/>
          <w:sz w:val="24"/>
        </w:rPr>
        <w:t>Payroll Cost Transfers</w:t>
      </w:r>
    </w:p>
    <w:p w14:paraId="72310D9D" w14:textId="77777777" w:rsidR="0067091D" w:rsidRPr="0067091D" w:rsidRDefault="0067091D" w:rsidP="00EF05B7">
      <w:pPr>
        <w:tabs>
          <w:tab w:val="num" w:pos="1080"/>
        </w:tabs>
        <w:spacing w:after="0"/>
        <w:rPr>
          <w:rFonts w:ascii="Times New Roman" w:hAnsi="Times New Roman" w:cs="Times New Roman"/>
          <w:b/>
          <w:sz w:val="24"/>
        </w:rPr>
      </w:pPr>
    </w:p>
    <w:p w14:paraId="5EE446E8" w14:textId="77777777" w:rsidR="00EF05B7" w:rsidRPr="00AF47FA" w:rsidRDefault="00EF05B7" w:rsidP="00EF05B7">
      <w:pPr>
        <w:tabs>
          <w:tab w:val="num" w:pos="1080"/>
        </w:tabs>
        <w:spacing w:after="0"/>
        <w:rPr>
          <w:rFonts w:ascii="Times New Roman" w:hAnsi="Times New Roman" w:cs="Times New Roman"/>
          <w:sz w:val="24"/>
        </w:rPr>
      </w:pPr>
      <w:r w:rsidRPr="00FE4A7B">
        <w:rPr>
          <w:rFonts w:ascii="Times New Roman" w:hAnsi="Times New Roman" w:cs="Times New Roman"/>
          <w:sz w:val="24"/>
        </w:rPr>
        <w:t>Unless the terms and conditions of a sponsored award dictate otherwise, payroll cost transfers will be considered timely if made within the period allowed for effort certification. Payroll transfers to federal awards after the certification period has closed are not allowed. Payroll transfers from federal awards to institutional fund</w:t>
      </w:r>
      <w:r w:rsidR="001020C9">
        <w:rPr>
          <w:rFonts w:ascii="Times New Roman" w:hAnsi="Times New Roman" w:cs="Times New Roman"/>
          <w:sz w:val="24"/>
        </w:rPr>
        <w:t xml:space="preserve"> accounts are</w:t>
      </w:r>
      <w:r w:rsidRPr="00FE4A7B">
        <w:rPr>
          <w:rFonts w:ascii="Times New Roman" w:hAnsi="Times New Roman" w:cs="Times New Roman"/>
          <w:sz w:val="24"/>
        </w:rPr>
        <w:t xml:space="preserve"> allowed as needed and as determined by the Office of Research.</w:t>
      </w:r>
    </w:p>
    <w:p w14:paraId="76810A52" w14:textId="77777777" w:rsidR="00EF05B7" w:rsidRPr="00AF47FA" w:rsidRDefault="00EF05B7" w:rsidP="00EF05B7">
      <w:pPr>
        <w:tabs>
          <w:tab w:val="num" w:pos="1080"/>
        </w:tabs>
        <w:spacing w:after="0"/>
        <w:rPr>
          <w:rFonts w:ascii="Times New Roman" w:hAnsi="Times New Roman" w:cs="Times New Roman"/>
          <w:sz w:val="24"/>
        </w:rPr>
      </w:pPr>
    </w:p>
    <w:p w14:paraId="4F75D609" w14:textId="77777777" w:rsidR="00EF05B7" w:rsidRPr="00FE4A7B" w:rsidRDefault="00EF05B7" w:rsidP="00EF05B7">
      <w:pPr>
        <w:tabs>
          <w:tab w:val="num" w:pos="1080"/>
        </w:tabs>
        <w:spacing w:after="0"/>
        <w:rPr>
          <w:rFonts w:ascii="Times New Roman" w:hAnsi="Times New Roman" w:cs="Times New Roman"/>
          <w:sz w:val="24"/>
        </w:rPr>
      </w:pPr>
      <w:r w:rsidRPr="00FE4A7B">
        <w:rPr>
          <w:rFonts w:ascii="Times New Roman" w:hAnsi="Times New Roman" w:cs="Times New Roman"/>
          <w:sz w:val="24"/>
        </w:rPr>
        <w:t xml:space="preserve">For salary cost transfers, the PI must separately list on the cost transfer journal the employee name, employee ID number and the bi-weekly pay periods to be transferred prior to submitting the transfer </w:t>
      </w:r>
      <w:r>
        <w:rPr>
          <w:rFonts w:ascii="Times New Roman" w:hAnsi="Times New Roman" w:cs="Times New Roman"/>
          <w:sz w:val="24"/>
        </w:rPr>
        <w:t xml:space="preserve">to PeopleSoft Financials </w:t>
      </w:r>
      <w:r w:rsidRPr="00FE4A7B">
        <w:rPr>
          <w:rFonts w:ascii="Times New Roman" w:hAnsi="Times New Roman" w:cs="Times New Roman"/>
          <w:sz w:val="24"/>
        </w:rPr>
        <w:t>for OR approval</w:t>
      </w:r>
      <w:r w:rsidRPr="00AF47FA">
        <w:rPr>
          <w:rFonts w:ascii="Times New Roman" w:hAnsi="Times New Roman" w:cs="Times New Roman"/>
          <w:sz w:val="24"/>
        </w:rPr>
        <w:t xml:space="preserve"> (see “Salary Cost Transfer Requirements”). </w:t>
      </w:r>
      <w:r w:rsidRPr="00FE4A7B">
        <w:rPr>
          <w:rFonts w:ascii="Times New Roman" w:hAnsi="Times New Roman" w:cs="Times New Roman"/>
          <w:sz w:val="24"/>
        </w:rPr>
        <w:t>The University is required by federal regulations to certify effort provided on sponsored projects, which is complete</w:t>
      </w:r>
      <w:r>
        <w:rPr>
          <w:rFonts w:ascii="Times New Roman" w:hAnsi="Times New Roman" w:cs="Times New Roman"/>
          <w:sz w:val="24"/>
        </w:rPr>
        <w:t>d after-the-fact</w:t>
      </w:r>
      <w:r w:rsidRPr="00FE4A7B">
        <w:rPr>
          <w:rFonts w:ascii="Times New Roman" w:hAnsi="Times New Roman" w:cs="Times New Roman"/>
          <w:sz w:val="24"/>
        </w:rPr>
        <w:t xml:space="preserve"> on a semester basis.  All transfers involving salary costs must be supported by effort reporting.  Any retroactive salary cost transfers that </w:t>
      </w:r>
      <w:r w:rsidR="00247910">
        <w:rPr>
          <w:rFonts w:ascii="Times New Roman" w:hAnsi="Times New Roman" w:cs="Times New Roman"/>
          <w:sz w:val="24"/>
        </w:rPr>
        <w:t>conflict with</w:t>
      </w:r>
      <w:r w:rsidRPr="00FE4A7B">
        <w:rPr>
          <w:rFonts w:ascii="Times New Roman" w:hAnsi="Times New Roman" w:cs="Times New Roman"/>
          <w:sz w:val="24"/>
        </w:rPr>
        <w:t xml:space="preserve">, or </w:t>
      </w:r>
      <w:r w:rsidR="00247910">
        <w:rPr>
          <w:rFonts w:ascii="Times New Roman" w:hAnsi="Times New Roman" w:cs="Times New Roman"/>
          <w:sz w:val="24"/>
        </w:rPr>
        <w:t xml:space="preserve">are </w:t>
      </w:r>
      <w:r w:rsidRPr="00FE4A7B">
        <w:rPr>
          <w:rFonts w:ascii="Times New Roman" w:hAnsi="Times New Roman" w:cs="Times New Roman"/>
          <w:sz w:val="24"/>
        </w:rPr>
        <w:t>not supported by, previously certified time and effort reports, present audit risk for the University.  See “Effort Reporting” guidance for additional information relating to effort reporting.</w:t>
      </w:r>
    </w:p>
    <w:p w14:paraId="76A106FC" w14:textId="77777777" w:rsidR="00EF05B7" w:rsidRPr="00AF47FA" w:rsidRDefault="00EF05B7" w:rsidP="00EF05B7">
      <w:pPr>
        <w:spacing w:after="0"/>
        <w:rPr>
          <w:rFonts w:ascii="Times New Roman" w:hAnsi="Times New Roman" w:cs="Times New Roman"/>
          <w:b/>
          <w:sz w:val="24"/>
        </w:rPr>
      </w:pPr>
    </w:p>
    <w:p w14:paraId="1A95EB15" w14:textId="77777777" w:rsidR="00EF05B7" w:rsidRDefault="00EF05B7" w:rsidP="00EF05B7">
      <w:pPr>
        <w:tabs>
          <w:tab w:val="num" w:pos="1080"/>
        </w:tabs>
        <w:spacing w:after="0"/>
        <w:rPr>
          <w:rFonts w:ascii="Times New Roman" w:hAnsi="Times New Roman" w:cs="Times New Roman"/>
          <w:b/>
          <w:sz w:val="24"/>
        </w:rPr>
      </w:pPr>
      <w:r w:rsidRPr="00FE4A7B">
        <w:rPr>
          <w:rFonts w:ascii="Times New Roman" w:hAnsi="Times New Roman" w:cs="Times New Roman"/>
          <w:b/>
          <w:sz w:val="24"/>
        </w:rPr>
        <w:t>Non-Payroll Cost Transfers</w:t>
      </w:r>
    </w:p>
    <w:p w14:paraId="04685016" w14:textId="77777777" w:rsidR="0067091D" w:rsidRPr="00FE4A7B" w:rsidRDefault="0067091D" w:rsidP="00EF05B7">
      <w:pPr>
        <w:tabs>
          <w:tab w:val="num" w:pos="1080"/>
        </w:tabs>
        <w:spacing w:after="0"/>
        <w:rPr>
          <w:rFonts w:ascii="Times New Roman" w:hAnsi="Times New Roman" w:cs="Times New Roman"/>
          <w:sz w:val="24"/>
        </w:rPr>
      </w:pPr>
    </w:p>
    <w:p w14:paraId="30D50C19" w14:textId="77777777" w:rsidR="00EF05B7" w:rsidRPr="00FE4A7B" w:rsidRDefault="00EF05B7" w:rsidP="00EF05B7">
      <w:pPr>
        <w:tabs>
          <w:tab w:val="num" w:pos="1080"/>
        </w:tabs>
        <w:spacing w:after="0"/>
        <w:rPr>
          <w:rFonts w:ascii="Times New Roman" w:hAnsi="Times New Roman" w:cs="Times New Roman"/>
          <w:sz w:val="24"/>
        </w:rPr>
      </w:pPr>
      <w:r w:rsidRPr="00FE4A7B">
        <w:rPr>
          <w:rFonts w:ascii="Times New Roman" w:hAnsi="Times New Roman" w:cs="Times New Roman"/>
          <w:sz w:val="24"/>
        </w:rPr>
        <w:t>Unless the terms and conditions of a sponsored award dictate otherwise, non-payroll cost transfers ordinarily will be considered timely if made within the 90 days following the journal date that the original transaction is posted in the general ledger.</w:t>
      </w:r>
    </w:p>
    <w:p w14:paraId="783DE615" w14:textId="77777777" w:rsidR="00EF05B7" w:rsidRDefault="00EF05B7" w:rsidP="00D012A7">
      <w:pPr>
        <w:spacing w:after="0" w:line="240" w:lineRule="auto"/>
        <w:textAlignment w:val="baseline"/>
        <w:rPr>
          <w:rFonts w:ascii="Times New Roman" w:eastAsia="Times New Roman" w:hAnsi="Times New Roman" w:cs="Times New Roman"/>
          <w:b/>
          <w:bCs/>
          <w:color w:val="212529"/>
          <w:sz w:val="28"/>
          <w:szCs w:val="24"/>
          <w:u w:val="single"/>
          <w:lang w:val="en"/>
        </w:rPr>
      </w:pPr>
    </w:p>
    <w:p w14:paraId="79B0AD02" w14:textId="77777777" w:rsidR="00D012A7" w:rsidRPr="00AF47FA" w:rsidRDefault="00D012A7" w:rsidP="00D012A7">
      <w:pPr>
        <w:spacing w:after="0" w:line="240" w:lineRule="auto"/>
        <w:textAlignment w:val="baseline"/>
        <w:rPr>
          <w:rFonts w:ascii="Times New Roman" w:eastAsia="Times New Roman" w:hAnsi="Times New Roman" w:cs="Times New Roman"/>
          <w:b/>
          <w:bCs/>
          <w:color w:val="212529"/>
          <w:sz w:val="28"/>
          <w:szCs w:val="24"/>
          <w:u w:val="single"/>
          <w:lang w:val="en"/>
        </w:rPr>
      </w:pPr>
      <w:r w:rsidRPr="00AF47FA">
        <w:rPr>
          <w:rFonts w:ascii="Times New Roman" w:eastAsia="Times New Roman" w:hAnsi="Times New Roman" w:cs="Times New Roman"/>
          <w:b/>
          <w:bCs/>
          <w:color w:val="212529"/>
          <w:sz w:val="28"/>
          <w:szCs w:val="24"/>
          <w:u w:val="single"/>
          <w:lang w:val="en"/>
        </w:rPr>
        <w:t xml:space="preserve">Roles and Responsibilities </w:t>
      </w:r>
    </w:p>
    <w:p w14:paraId="09EA2FD3" w14:textId="77777777" w:rsidR="00AF47FA" w:rsidRDefault="00AF47FA" w:rsidP="00D012A7">
      <w:pPr>
        <w:spacing w:after="0" w:line="240" w:lineRule="auto"/>
        <w:textAlignment w:val="baseline"/>
        <w:rPr>
          <w:rFonts w:ascii="Times New Roman" w:eastAsia="Times New Roman" w:hAnsi="Times New Roman" w:cs="Times New Roman"/>
          <w:b/>
          <w:bCs/>
          <w:color w:val="212529"/>
          <w:sz w:val="24"/>
          <w:szCs w:val="24"/>
          <w:lang w:val="en"/>
        </w:rPr>
      </w:pPr>
    </w:p>
    <w:p w14:paraId="78395C22" w14:textId="77777777" w:rsidR="00D012A7" w:rsidRPr="00D012A7" w:rsidRDefault="00D012A7" w:rsidP="00D012A7">
      <w:pPr>
        <w:spacing w:after="0" w:line="240" w:lineRule="auto"/>
        <w:textAlignment w:val="baseline"/>
        <w:rPr>
          <w:rFonts w:ascii="Times New Roman" w:eastAsia="Times New Roman" w:hAnsi="Times New Roman" w:cs="Times New Roman"/>
          <w:b/>
          <w:bCs/>
          <w:color w:val="212529"/>
          <w:sz w:val="24"/>
          <w:szCs w:val="24"/>
          <w:lang w:val="en"/>
        </w:rPr>
      </w:pPr>
      <w:r w:rsidRPr="00D012A7">
        <w:rPr>
          <w:rFonts w:ascii="Times New Roman" w:eastAsia="Times New Roman" w:hAnsi="Times New Roman" w:cs="Times New Roman"/>
          <w:b/>
          <w:bCs/>
          <w:color w:val="212529"/>
          <w:sz w:val="24"/>
          <w:szCs w:val="24"/>
          <w:lang w:val="en"/>
        </w:rPr>
        <w:t>Principal Investigator/Department Designee Responsibilities:</w:t>
      </w:r>
      <w:r w:rsidRPr="00D012A7">
        <w:rPr>
          <w:rFonts w:ascii="Times New Roman" w:eastAsia="Times New Roman" w:hAnsi="Times New Roman" w:cs="Times New Roman"/>
          <w:color w:val="212529"/>
          <w:sz w:val="24"/>
          <w:szCs w:val="24"/>
          <w:lang w:val="en"/>
        </w:rPr>
        <w:t xml:space="preserve"> </w:t>
      </w:r>
    </w:p>
    <w:p w14:paraId="4B90842E" w14:textId="77777777" w:rsidR="00D012A7" w:rsidRPr="00D012A7" w:rsidRDefault="00D012A7" w:rsidP="00D012A7">
      <w:pPr>
        <w:numPr>
          <w:ilvl w:val="0"/>
          <w:numId w:val="6"/>
        </w:numPr>
        <w:spacing w:before="100" w:beforeAutospacing="1" w:after="0" w:line="240" w:lineRule="auto"/>
        <w:ind w:left="495"/>
        <w:textAlignment w:val="baseline"/>
        <w:rPr>
          <w:rFonts w:ascii="Times New Roman" w:eastAsia="Times New Roman" w:hAnsi="Times New Roman" w:cs="Times New Roman"/>
          <w:color w:val="212529"/>
          <w:sz w:val="24"/>
          <w:szCs w:val="24"/>
          <w:lang w:val="en"/>
        </w:rPr>
      </w:pPr>
      <w:r w:rsidRPr="00D012A7">
        <w:rPr>
          <w:rFonts w:ascii="Times New Roman" w:eastAsia="Times New Roman" w:hAnsi="Times New Roman" w:cs="Times New Roman"/>
          <w:color w:val="212529"/>
          <w:sz w:val="24"/>
          <w:szCs w:val="24"/>
          <w:lang w:val="en"/>
        </w:rPr>
        <w:t>Ensures that expenditures are allocable, allowable, and reasonable to a specific sponsored project.</w:t>
      </w:r>
    </w:p>
    <w:p w14:paraId="022BAE0F" w14:textId="77777777" w:rsidR="00D012A7" w:rsidRPr="00D012A7" w:rsidRDefault="00D012A7" w:rsidP="00D012A7">
      <w:pPr>
        <w:numPr>
          <w:ilvl w:val="0"/>
          <w:numId w:val="6"/>
        </w:numPr>
        <w:spacing w:before="100" w:beforeAutospacing="1" w:after="0" w:line="240" w:lineRule="auto"/>
        <w:ind w:left="495"/>
        <w:textAlignment w:val="baseline"/>
        <w:rPr>
          <w:rFonts w:ascii="Times New Roman" w:eastAsia="Times New Roman" w:hAnsi="Times New Roman" w:cs="Times New Roman"/>
          <w:color w:val="212529"/>
          <w:sz w:val="24"/>
          <w:szCs w:val="24"/>
          <w:lang w:val="en"/>
        </w:rPr>
      </w:pPr>
      <w:r w:rsidRPr="00D012A7">
        <w:rPr>
          <w:rFonts w:ascii="Times New Roman" w:eastAsia="Times New Roman" w:hAnsi="Times New Roman" w:cs="Times New Roman"/>
          <w:color w:val="212529"/>
          <w:sz w:val="24"/>
          <w:szCs w:val="24"/>
          <w:lang w:val="en"/>
        </w:rPr>
        <w:t xml:space="preserve">Ensures that expenditures are allocated in accordance with award budget, sponsor guidelines, and </w:t>
      </w:r>
      <w:r w:rsidRPr="00AF47FA">
        <w:rPr>
          <w:rFonts w:ascii="Times New Roman" w:eastAsia="Times New Roman" w:hAnsi="Times New Roman" w:cs="Times New Roman"/>
          <w:color w:val="212529"/>
          <w:sz w:val="24"/>
          <w:szCs w:val="24"/>
          <w:lang w:val="en"/>
        </w:rPr>
        <w:t>UCF</w:t>
      </w:r>
      <w:r w:rsidRPr="00D012A7">
        <w:rPr>
          <w:rFonts w:ascii="Times New Roman" w:eastAsia="Times New Roman" w:hAnsi="Times New Roman" w:cs="Times New Roman"/>
          <w:color w:val="212529"/>
          <w:sz w:val="24"/>
          <w:szCs w:val="24"/>
          <w:lang w:val="en"/>
        </w:rPr>
        <w:t xml:space="preserve"> policy.</w:t>
      </w:r>
    </w:p>
    <w:p w14:paraId="60C124A7" w14:textId="77777777" w:rsidR="00D012A7" w:rsidRPr="00D012A7" w:rsidRDefault="00D012A7" w:rsidP="00D012A7">
      <w:pPr>
        <w:numPr>
          <w:ilvl w:val="0"/>
          <w:numId w:val="6"/>
        </w:numPr>
        <w:spacing w:before="100" w:beforeAutospacing="1" w:after="0" w:line="240" w:lineRule="auto"/>
        <w:ind w:left="495"/>
        <w:textAlignment w:val="baseline"/>
        <w:rPr>
          <w:rFonts w:ascii="Times New Roman" w:eastAsia="Times New Roman" w:hAnsi="Times New Roman" w:cs="Times New Roman"/>
          <w:color w:val="212529"/>
          <w:sz w:val="24"/>
          <w:szCs w:val="24"/>
          <w:lang w:val="en"/>
        </w:rPr>
      </w:pPr>
      <w:r w:rsidRPr="00D012A7">
        <w:rPr>
          <w:rFonts w:ascii="Times New Roman" w:eastAsia="Times New Roman" w:hAnsi="Times New Roman" w:cs="Times New Roman"/>
          <w:color w:val="212529"/>
          <w:sz w:val="24"/>
          <w:szCs w:val="24"/>
          <w:lang w:val="en"/>
        </w:rPr>
        <w:t>Ensures that individuals have appropriate authority to incur and allocate expenditures.</w:t>
      </w:r>
    </w:p>
    <w:p w14:paraId="6CA80524" w14:textId="77777777" w:rsidR="00D012A7" w:rsidRPr="00D012A7" w:rsidRDefault="00D012A7" w:rsidP="00D012A7">
      <w:pPr>
        <w:numPr>
          <w:ilvl w:val="0"/>
          <w:numId w:val="6"/>
        </w:numPr>
        <w:spacing w:before="100" w:beforeAutospacing="1" w:after="0" w:line="240" w:lineRule="auto"/>
        <w:ind w:left="495"/>
        <w:textAlignment w:val="baseline"/>
        <w:rPr>
          <w:rFonts w:ascii="Times New Roman" w:eastAsia="Times New Roman" w:hAnsi="Times New Roman" w:cs="Times New Roman"/>
          <w:color w:val="212529"/>
          <w:sz w:val="24"/>
          <w:szCs w:val="24"/>
          <w:lang w:val="en"/>
        </w:rPr>
      </w:pPr>
      <w:r w:rsidRPr="00D012A7">
        <w:rPr>
          <w:rFonts w:ascii="Times New Roman" w:eastAsia="Times New Roman" w:hAnsi="Times New Roman" w:cs="Times New Roman"/>
          <w:color w:val="212529"/>
          <w:sz w:val="24"/>
          <w:szCs w:val="24"/>
          <w:lang w:val="en"/>
        </w:rPr>
        <w:t>Ensures that monthly monitoring of expenditures, timely correction of errors, and reallocation of expenses, including personnel effort, occurs.</w:t>
      </w:r>
    </w:p>
    <w:p w14:paraId="04DA2B32" w14:textId="77777777" w:rsidR="00D012A7" w:rsidRPr="00D012A7" w:rsidRDefault="00D012A7" w:rsidP="00D012A7">
      <w:pPr>
        <w:numPr>
          <w:ilvl w:val="0"/>
          <w:numId w:val="6"/>
        </w:numPr>
        <w:spacing w:before="100" w:beforeAutospacing="1" w:after="0" w:line="240" w:lineRule="auto"/>
        <w:ind w:left="495"/>
        <w:textAlignment w:val="baseline"/>
        <w:rPr>
          <w:rFonts w:ascii="Times New Roman" w:eastAsia="Times New Roman" w:hAnsi="Times New Roman" w:cs="Times New Roman"/>
          <w:color w:val="212529"/>
          <w:sz w:val="24"/>
          <w:szCs w:val="24"/>
          <w:lang w:val="en"/>
        </w:rPr>
      </w:pPr>
      <w:r w:rsidRPr="00D012A7">
        <w:rPr>
          <w:rFonts w:ascii="Times New Roman" w:eastAsia="Times New Roman" w:hAnsi="Times New Roman" w:cs="Times New Roman"/>
          <w:color w:val="212529"/>
          <w:sz w:val="24"/>
          <w:szCs w:val="24"/>
          <w:lang w:val="en"/>
        </w:rPr>
        <w:t xml:space="preserve">Ensures compliance with </w:t>
      </w:r>
      <w:r w:rsidRPr="00AF47FA">
        <w:rPr>
          <w:rFonts w:ascii="Times New Roman" w:eastAsia="Times New Roman" w:hAnsi="Times New Roman" w:cs="Times New Roman"/>
          <w:color w:val="212529"/>
          <w:sz w:val="24"/>
          <w:szCs w:val="24"/>
          <w:lang w:val="en"/>
        </w:rPr>
        <w:t>UCF</w:t>
      </w:r>
      <w:r w:rsidRPr="00D012A7">
        <w:rPr>
          <w:rFonts w:ascii="Times New Roman" w:eastAsia="Times New Roman" w:hAnsi="Times New Roman" w:cs="Times New Roman"/>
          <w:color w:val="212529"/>
          <w:sz w:val="24"/>
          <w:szCs w:val="24"/>
          <w:lang w:val="en"/>
        </w:rPr>
        <w:t xml:space="preserve"> Cost Transfer Policy.</w:t>
      </w:r>
    </w:p>
    <w:p w14:paraId="40B7CD0B" w14:textId="77777777" w:rsidR="00D012A7" w:rsidRPr="00D012A7" w:rsidRDefault="00D012A7" w:rsidP="00D012A7">
      <w:pPr>
        <w:numPr>
          <w:ilvl w:val="0"/>
          <w:numId w:val="6"/>
        </w:numPr>
        <w:spacing w:before="100" w:beforeAutospacing="1" w:after="0" w:line="240" w:lineRule="auto"/>
        <w:ind w:left="495"/>
        <w:textAlignment w:val="baseline"/>
        <w:rPr>
          <w:rFonts w:ascii="Times New Roman" w:eastAsia="Times New Roman" w:hAnsi="Times New Roman" w:cs="Times New Roman"/>
          <w:color w:val="212529"/>
          <w:sz w:val="24"/>
          <w:szCs w:val="24"/>
          <w:lang w:val="en"/>
        </w:rPr>
      </w:pPr>
      <w:r w:rsidRPr="00D012A7">
        <w:rPr>
          <w:rFonts w:ascii="Times New Roman" w:eastAsia="Times New Roman" w:hAnsi="Times New Roman" w:cs="Times New Roman"/>
          <w:color w:val="212529"/>
          <w:sz w:val="24"/>
          <w:szCs w:val="24"/>
          <w:lang w:val="en"/>
        </w:rPr>
        <w:t>Initiates and/or authorizes requests for cost transfers.</w:t>
      </w:r>
    </w:p>
    <w:p w14:paraId="6641FB75" w14:textId="77777777" w:rsidR="00D012A7" w:rsidRPr="00D012A7" w:rsidRDefault="00D012A7" w:rsidP="00D012A7">
      <w:pPr>
        <w:numPr>
          <w:ilvl w:val="0"/>
          <w:numId w:val="6"/>
        </w:numPr>
        <w:spacing w:before="100" w:beforeAutospacing="1" w:after="0" w:line="240" w:lineRule="auto"/>
        <w:ind w:left="495"/>
        <w:textAlignment w:val="baseline"/>
        <w:rPr>
          <w:rFonts w:ascii="Times New Roman" w:eastAsia="Times New Roman" w:hAnsi="Times New Roman" w:cs="Times New Roman"/>
          <w:color w:val="212529"/>
          <w:sz w:val="24"/>
          <w:szCs w:val="24"/>
          <w:lang w:val="en"/>
        </w:rPr>
      </w:pPr>
      <w:r w:rsidRPr="00D012A7">
        <w:rPr>
          <w:rFonts w:ascii="Times New Roman" w:eastAsia="Times New Roman" w:hAnsi="Times New Roman" w:cs="Times New Roman"/>
          <w:color w:val="212529"/>
          <w:sz w:val="24"/>
          <w:szCs w:val="24"/>
          <w:lang w:val="en"/>
        </w:rPr>
        <w:lastRenderedPageBreak/>
        <w:t>Provides complete, clear and reasonable justification for transfers as required by this policy.</w:t>
      </w:r>
    </w:p>
    <w:p w14:paraId="0C5896E4" w14:textId="77777777" w:rsidR="00D012A7" w:rsidRPr="00D012A7" w:rsidRDefault="00D012A7" w:rsidP="00D012A7">
      <w:pPr>
        <w:numPr>
          <w:ilvl w:val="0"/>
          <w:numId w:val="6"/>
        </w:numPr>
        <w:spacing w:before="100" w:beforeAutospacing="1" w:after="0" w:line="240" w:lineRule="auto"/>
        <w:ind w:left="495"/>
        <w:textAlignment w:val="baseline"/>
        <w:rPr>
          <w:rFonts w:ascii="Times New Roman" w:eastAsia="Times New Roman" w:hAnsi="Times New Roman" w:cs="Times New Roman"/>
          <w:color w:val="212529"/>
          <w:sz w:val="24"/>
          <w:szCs w:val="24"/>
          <w:lang w:val="en"/>
        </w:rPr>
      </w:pPr>
      <w:r w:rsidRPr="00D012A7">
        <w:rPr>
          <w:rFonts w:ascii="Times New Roman" w:eastAsia="Times New Roman" w:hAnsi="Times New Roman" w:cs="Times New Roman"/>
          <w:color w:val="212529"/>
          <w:sz w:val="24"/>
          <w:szCs w:val="24"/>
          <w:lang w:val="en"/>
        </w:rPr>
        <w:t>Manages project to minimize the need for cost transfers.</w:t>
      </w:r>
    </w:p>
    <w:p w14:paraId="3DA16512" w14:textId="77777777" w:rsidR="00D012A7" w:rsidRPr="00AF47FA" w:rsidRDefault="00D012A7" w:rsidP="00D012A7">
      <w:pPr>
        <w:spacing w:after="0" w:line="240" w:lineRule="auto"/>
        <w:textAlignment w:val="baseline"/>
        <w:rPr>
          <w:rFonts w:ascii="Times New Roman" w:eastAsia="Times New Roman" w:hAnsi="Times New Roman" w:cs="Times New Roman"/>
          <w:b/>
          <w:bCs/>
          <w:color w:val="212529"/>
          <w:sz w:val="24"/>
          <w:szCs w:val="24"/>
          <w:lang w:val="en"/>
        </w:rPr>
      </w:pPr>
    </w:p>
    <w:p w14:paraId="73AF3EE0" w14:textId="77777777" w:rsidR="00D012A7" w:rsidRPr="00D012A7" w:rsidRDefault="00D012A7" w:rsidP="00D012A7">
      <w:pPr>
        <w:spacing w:after="0" w:line="240" w:lineRule="auto"/>
        <w:textAlignment w:val="baseline"/>
        <w:rPr>
          <w:rFonts w:ascii="Times New Roman" w:eastAsia="Times New Roman" w:hAnsi="Times New Roman" w:cs="Times New Roman"/>
          <w:color w:val="212529"/>
          <w:sz w:val="24"/>
          <w:szCs w:val="24"/>
          <w:lang w:val="en"/>
        </w:rPr>
      </w:pPr>
      <w:r w:rsidRPr="00D012A7">
        <w:rPr>
          <w:rFonts w:ascii="Times New Roman" w:eastAsia="Times New Roman" w:hAnsi="Times New Roman" w:cs="Times New Roman"/>
          <w:b/>
          <w:bCs/>
          <w:color w:val="212529"/>
          <w:sz w:val="24"/>
          <w:szCs w:val="24"/>
          <w:lang w:val="en"/>
        </w:rPr>
        <w:t>College / School Responsibilities:</w:t>
      </w:r>
      <w:r w:rsidRPr="00D012A7">
        <w:rPr>
          <w:rFonts w:ascii="Times New Roman" w:eastAsia="Times New Roman" w:hAnsi="Times New Roman" w:cs="Times New Roman"/>
          <w:color w:val="212529"/>
          <w:sz w:val="24"/>
          <w:szCs w:val="24"/>
          <w:lang w:val="en"/>
        </w:rPr>
        <w:t xml:space="preserve"> </w:t>
      </w:r>
    </w:p>
    <w:p w14:paraId="250C0153" w14:textId="77777777" w:rsidR="00D012A7" w:rsidRPr="00D012A7" w:rsidRDefault="00D012A7" w:rsidP="00D012A7">
      <w:pPr>
        <w:numPr>
          <w:ilvl w:val="0"/>
          <w:numId w:val="7"/>
        </w:numPr>
        <w:spacing w:before="100" w:beforeAutospacing="1" w:after="0" w:line="240" w:lineRule="auto"/>
        <w:ind w:left="495"/>
        <w:textAlignment w:val="baseline"/>
        <w:rPr>
          <w:rFonts w:ascii="Times New Roman" w:eastAsia="Times New Roman" w:hAnsi="Times New Roman" w:cs="Times New Roman"/>
          <w:color w:val="212529"/>
          <w:sz w:val="24"/>
          <w:szCs w:val="24"/>
          <w:lang w:val="en"/>
        </w:rPr>
      </w:pPr>
      <w:r w:rsidRPr="00D012A7">
        <w:rPr>
          <w:rFonts w:ascii="Times New Roman" w:eastAsia="Times New Roman" w:hAnsi="Times New Roman" w:cs="Times New Roman"/>
          <w:color w:val="212529"/>
          <w:sz w:val="24"/>
          <w:szCs w:val="24"/>
          <w:lang w:val="en"/>
        </w:rPr>
        <w:t xml:space="preserve">Ensures that personnel responsible for financial administration of sponsored projects are familiar with </w:t>
      </w:r>
      <w:r w:rsidRPr="00AF47FA">
        <w:rPr>
          <w:rFonts w:ascii="Times New Roman" w:eastAsia="Times New Roman" w:hAnsi="Times New Roman" w:cs="Times New Roman"/>
          <w:color w:val="212529"/>
          <w:sz w:val="24"/>
          <w:szCs w:val="24"/>
          <w:lang w:val="en"/>
        </w:rPr>
        <w:t>UCF</w:t>
      </w:r>
      <w:r w:rsidRPr="00D012A7">
        <w:rPr>
          <w:rFonts w:ascii="Times New Roman" w:eastAsia="Times New Roman" w:hAnsi="Times New Roman" w:cs="Times New Roman"/>
          <w:color w:val="212529"/>
          <w:sz w:val="24"/>
          <w:szCs w:val="24"/>
          <w:lang w:val="en"/>
        </w:rPr>
        <w:t xml:space="preserve"> Cost Transfer Policy.</w:t>
      </w:r>
    </w:p>
    <w:p w14:paraId="589BA0FF" w14:textId="77777777" w:rsidR="00D012A7" w:rsidRPr="00D012A7" w:rsidRDefault="00D012A7" w:rsidP="00D012A7">
      <w:pPr>
        <w:numPr>
          <w:ilvl w:val="0"/>
          <w:numId w:val="7"/>
        </w:numPr>
        <w:spacing w:before="100" w:beforeAutospacing="1" w:after="0" w:line="240" w:lineRule="auto"/>
        <w:ind w:left="495"/>
        <w:textAlignment w:val="baseline"/>
        <w:rPr>
          <w:rFonts w:ascii="Times New Roman" w:eastAsia="Times New Roman" w:hAnsi="Times New Roman" w:cs="Times New Roman"/>
          <w:color w:val="212529"/>
          <w:sz w:val="24"/>
          <w:szCs w:val="24"/>
          <w:lang w:val="en"/>
        </w:rPr>
      </w:pPr>
      <w:r w:rsidRPr="00D012A7">
        <w:rPr>
          <w:rFonts w:ascii="Times New Roman" w:eastAsia="Times New Roman" w:hAnsi="Times New Roman" w:cs="Times New Roman"/>
          <w:color w:val="212529"/>
          <w:sz w:val="24"/>
          <w:szCs w:val="24"/>
          <w:lang w:val="en"/>
        </w:rPr>
        <w:t>Provides oversight and advice on sponsored project administration including cost transfers and effort reports.</w:t>
      </w:r>
    </w:p>
    <w:p w14:paraId="657C3A4A" w14:textId="77777777" w:rsidR="00D012A7" w:rsidRPr="00D012A7" w:rsidRDefault="00D012A7" w:rsidP="00D012A7">
      <w:pPr>
        <w:numPr>
          <w:ilvl w:val="0"/>
          <w:numId w:val="7"/>
        </w:numPr>
        <w:spacing w:before="100" w:beforeAutospacing="1" w:after="0" w:line="240" w:lineRule="auto"/>
        <w:ind w:left="495"/>
        <w:textAlignment w:val="baseline"/>
        <w:rPr>
          <w:rFonts w:ascii="Times New Roman" w:eastAsia="Times New Roman" w:hAnsi="Times New Roman" w:cs="Times New Roman"/>
          <w:color w:val="212529"/>
          <w:sz w:val="24"/>
          <w:szCs w:val="24"/>
          <w:lang w:val="en"/>
        </w:rPr>
      </w:pPr>
      <w:r w:rsidRPr="00D012A7">
        <w:rPr>
          <w:rFonts w:ascii="Times New Roman" w:eastAsia="Times New Roman" w:hAnsi="Times New Roman" w:cs="Times New Roman"/>
          <w:color w:val="212529"/>
          <w:sz w:val="24"/>
          <w:szCs w:val="24"/>
          <w:lang w:val="en"/>
        </w:rPr>
        <w:t>Provides support to answer questions and concerns from PI’s and departments regarding cost transfer issues.</w:t>
      </w:r>
    </w:p>
    <w:p w14:paraId="69D5190C" w14:textId="77777777" w:rsidR="00D012A7" w:rsidRPr="00D012A7" w:rsidRDefault="00D012A7" w:rsidP="00D012A7">
      <w:pPr>
        <w:numPr>
          <w:ilvl w:val="0"/>
          <w:numId w:val="7"/>
        </w:numPr>
        <w:spacing w:before="100" w:beforeAutospacing="1" w:after="0" w:line="240" w:lineRule="auto"/>
        <w:ind w:left="495"/>
        <w:textAlignment w:val="baseline"/>
        <w:rPr>
          <w:rFonts w:ascii="Times New Roman" w:eastAsia="Times New Roman" w:hAnsi="Times New Roman" w:cs="Times New Roman"/>
          <w:color w:val="212529"/>
          <w:sz w:val="24"/>
          <w:szCs w:val="24"/>
          <w:lang w:val="en"/>
        </w:rPr>
      </w:pPr>
      <w:r w:rsidRPr="00D012A7">
        <w:rPr>
          <w:rFonts w:ascii="Times New Roman" w:eastAsia="Times New Roman" w:hAnsi="Times New Roman" w:cs="Times New Roman"/>
          <w:color w:val="212529"/>
          <w:sz w:val="24"/>
          <w:szCs w:val="24"/>
          <w:lang w:val="en"/>
        </w:rPr>
        <w:t xml:space="preserve">Approves transfers, and ensures 90-day compliance with </w:t>
      </w:r>
      <w:r w:rsidRPr="00AF47FA">
        <w:rPr>
          <w:rFonts w:ascii="Times New Roman" w:eastAsia="Times New Roman" w:hAnsi="Times New Roman" w:cs="Times New Roman"/>
          <w:color w:val="212529"/>
          <w:sz w:val="24"/>
          <w:szCs w:val="24"/>
          <w:lang w:val="en"/>
        </w:rPr>
        <w:t>UCF</w:t>
      </w:r>
      <w:r w:rsidRPr="00D012A7">
        <w:rPr>
          <w:rFonts w:ascii="Times New Roman" w:eastAsia="Times New Roman" w:hAnsi="Times New Roman" w:cs="Times New Roman"/>
          <w:color w:val="212529"/>
          <w:sz w:val="24"/>
          <w:szCs w:val="24"/>
          <w:lang w:val="en"/>
        </w:rPr>
        <w:t xml:space="preserve"> Cost Transfer Policy.</w:t>
      </w:r>
    </w:p>
    <w:p w14:paraId="2F2EDE57" w14:textId="77777777" w:rsidR="00C30225" w:rsidRDefault="00C30225" w:rsidP="00D012A7">
      <w:pPr>
        <w:spacing w:after="0" w:line="240" w:lineRule="auto"/>
        <w:textAlignment w:val="baseline"/>
        <w:rPr>
          <w:rFonts w:ascii="Times New Roman" w:eastAsia="Times New Roman" w:hAnsi="Times New Roman" w:cs="Times New Roman"/>
          <w:b/>
          <w:bCs/>
          <w:color w:val="212529"/>
          <w:sz w:val="24"/>
          <w:szCs w:val="24"/>
          <w:lang w:val="en"/>
        </w:rPr>
      </w:pPr>
    </w:p>
    <w:p w14:paraId="3414888C" w14:textId="77777777" w:rsidR="00D012A7" w:rsidRPr="00D012A7" w:rsidRDefault="00D012A7" w:rsidP="00D012A7">
      <w:pPr>
        <w:spacing w:after="0" w:line="240" w:lineRule="auto"/>
        <w:textAlignment w:val="baseline"/>
        <w:rPr>
          <w:rFonts w:ascii="Times New Roman" w:eastAsia="Times New Roman" w:hAnsi="Times New Roman" w:cs="Times New Roman"/>
          <w:color w:val="212529"/>
          <w:sz w:val="24"/>
          <w:szCs w:val="24"/>
          <w:lang w:val="en"/>
        </w:rPr>
      </w:pPr>
      <w:r w:rsidRPr="00AF47FA">
        <w:rPr>
          <w:rFonts w:ascii="Times New Roman" w:eastAsia="Times New Roman" w:hAnsi="Times New Roman" w:cs="Times New Roman"/>
          <w:b/>
          <w:bCs/>
          <w:color w:val="212529"/>
          <w:sz w:val="24"/>
          <w:szCs w:val="24"/>
          <w:lang w:val="en"/>
        </w:rPr>
        <w:t>Office of Research</w:t>
      </w:r>
      <w:r w:rsidRPr="00D012A7">
        <w:rPr>
          <w:rFonts w:ascii="Times New Roman" w:eastAsia="Times New Roman" w:hAnsi="Times New Roman" w:cs="Times New Roman"/>
          <w:b/>
          <w:bCs/>
          <w:color w:val="212529"/>
          <w:sz w:val="24"/>
          <w:szCs w:val="24"/>
          <w:lang w:val="en"/>
        </w:rPr>
        <w:t xml:space="preserve"> Responsibilities:</w:t>
      </w:r>
      <w:r w:rsidRPr="00D012A7">
        <w:rPr>
          <w:rFonts w:ascii="Times New Roman" w:eastAsia="Times New Roman" w:hAnsi="Times New Roman" w:cs="Times New Roman"/>
          <w:color w:val="212529"/>
          <w:sz w:val="24"/>
          <w:szCs w:val="24"/>
          <w:lang w:val="en"/>
        </w:rPr>
        <w:t xml:space="preserve"> </w:t>
      </w:r>
    </w:p>
    <w:p w14:paraId="12C72DA4" w14:textId="77777777" w:rsidR="00D012A7" w:rsidRPr="00D012A7" w:rsidRDefault="00D012A7" w:rsidP="00D012A7">
      <w:pPr>
        <w:numPr>
          <w:ilvl w:val="0"/>
          <w:numId w:val="8"/>
        </w:numPr>
        <w:spacing w:before="100" w:beforeAutospacing="1" w:after="0" w:line="240" w:lineRule="auto"/>
        <w:ind w:left="495"/>
        <w:textAlignment w:val="baseline"/>
        <w:rPr>
          <w:rFonts w:ascii="Times New Roman" w:eastAsia="Times New Roman" w:hAnsi="Times New Roman" w:cs="Times New Roman"/>
          <w:color w:val="212529"/>
          <w:sz w:val="24"/>
          <w:szCs w:val="24"/>
          <w:lang w:val="en"/>
        </w:rPr>
      </w:pPr>
      <w:r w:rsidRPr="00D012A7">
        <w:rPr>
          <w:rFonts w:ascii="Times New Roman" w:eastAsia="Times New Roman" w:hAnsi="Times New Roman" w:cs="Times New Roman"/>
          <w:color w:val="212529"/>
          <w:sz w:val="24"/>
          <w:szCs w:val="24"/>
          <w:lang w:val="en"/>
        </w:rPr>
        <w:t>Exercises stewardship over sponsored projects in accordance with specific award terms and conditions and sponsor policy.</w:t>
      </w:r>
    </w:p>
    <w:p w14:paraId="7E2EAAB1" w14:textId="77777777" w:rsidR="00D012A7" w:rsidRPr="00D012A7" w:rsidRDefault="00D012A7" w:rsidP="00D012A7">
      <w:pPr>
        <w:numPr>
          <w:ilvl w:val="0"/>
          <w:numId w:val="8"/>
        </w:numPr>
        <w:spacing w:before="100" w:beforeAutospacing="1" w:after="0" w:line="240" w:lineRule="auto"/>
        <w:ind w:left="495"/>
        <w:textAlignment w:val="baseline"/>
        <w:rPr>
          <w:rFonts w:ascii="Times New Roman" w:eastAsia="Times New Roman" w:hAnsi="Times New Roman" w:cs="Times New Roman"/>
          <w:color w:val="212529"/>
          <w:sz w:val="24"/>
          <w:szCs w:val="24"/>
          <w:lang w:val="en"/>
        </w:rPr>
      </w:pPr>
      <w:r w:rsidRPr="00D012A7">
        <w:rPr>
          <w:rFonts w:ascii="Times New Roman" w:eastAsia="Times New Roman" w:hAnsi="Times New Roman" w:cs="Times New Roman"/>
          <w:color w:val="212529"/>
          <w:sz w:val="24"/>
          <w:szCs w:val="24"/>
          <w:lang w:val="en"/>
        </w:rPr>
        <w:t>Advises PI, Department, and Dean’s Office on processing cost transfer adjustments and procedures.</w:t>
      </w:r>
    </w:p>
    <w:p w14:paraId="5F573864" w14:textId="77777777" w:rsidR="00D012A7" w:rsidRPr="00D012A7" w:rsidRDefault="00D012A7" w:rsidP="00D012A7">
      <w:pPr>
        <w:numPr>
          <w:ilvl w:val="0"/>
          <w:numId w:val="8"/>
        </w:numPr>
        <w:spacing w:before="100" w:beforeAutospacing="1" w:after="0" w:line="240" w:lineRule="auto"/>
        <w:ind w:left="495"/>
        <w:textAlignment w:val="baseline"/>
        <w:rPr>
          <w:rFonts w:ascii="Times New Roman" w:eastAsia="Times New Roman" w:hAnsi="Times New Roman" w:cs="Times New Roman"/>
          <w:color w:val="212529"/>
          <w:sz w:val="24"/>
          <w:szCs w:val="24"/>
          <w:lang w:val="en"/>
        </w:rPr>
      </w:pPr>
      <w:r w:rsidRPr="00D012A7">
        <w:rPr>
          <w:rFonts w:ascii="Times New Roman" w:eastAsia="Times New Roman" w:hAnsi="Times New Roman" w:cs="Times New Roman"/>
          <w:color w:val="212529"/>
          <w:sz w:val="24"/>
          <w:szCs w:val="24"/>
          <w:lang w:val="en"/>
        </w:rPr>
        <w:t xml:space="preserve">Reviews and approves cost transfers and supporting documentation in accordance with </w:t>
      </w:r>
      <w:r w:rsidR="00AF47FA" w:rsidRPr="00AF47FA">
        <w:rPr>
          <w:rFonts w:ascii="Times New Roman" w:eastAsia="Times New Roman" w:hAnsi="Times New Roman" w:cs="Times New Roman"/>
          <w:color w:val="212529"/>
          <w:sz w:val="24"/>
          <w:szCs w:val="24"/>
          <w:lang w:val="en"/>
        </w:rPr>
        <w:t>UCF</w:t>
      </w:r>
      <w:r w:rsidRPr="00D012A7">
        <w:rPr>
          <w:rFonts w:ascii="Times New Roman" w:eastAsia="Times New Roman" w:hAnsi="Times New Roman" w:cs="Times New Roman"/>
          <w:color w:val="212529"/>
          <w:sz w:val="24"/>
          <w:szCs w:val="24"/>
          <w:lang w:val="en"/>
        </w:rPr>
        <w:t xml:space="preserve"> policy and sponsor guidelines.</w:t>
      </w:r>
    </w:p>
    <w:p w14:paraId="301B4A57" w14:textId="77777777" w:rsidR="00D012A7" w:rsidRPr="00D012A7" w:rsidRDefault="00D012A7" w:rsidP="00D012A7">
      <w:pPr>
        <w:numPr>
          <w:ilvl w:val="0"/>
          <w:numId w:val="8"/>
        </w:numPr>
        <w:spacing w:before="100" w:beforeAutospacing="1" w:after="0" w:line="240" w:lineRule="auto"/>
        <w:ind w:left="495"/>
        <w:textAlignment w:val="baseline"/>
        <w:rPr>
          <w:rFonts w:ascii="Times New Roman" w:eastAsia="Times New Roman" w:hAnsi="Times New Roman" w:cs="Times New Roman"/>
          <w:color w:val="212529"/>
          <w:sz w:val="24"/>
          <w:szCs w:val="24"/>
          <w:lang w:val="en"/>
        </w:rPr>
      </w:pPr>
      <w:r w:rsidRPr="00D012A7">
        <w:rPr>
          <w:rFonts w:ascii="Times New Roman" w:eastAsia="Times New Roman" w:hAnsi="Times New Roman" w:cs="Times New Roman"/>
          <w:color w:val="212529"/>
          <w:sz w:val="24"/>
          <w:szCs w:val="24"/>
          <w:lang w:val="en"/>
        </w:rPr>
        <w:t>Provides training on Cost Transfer Policy and principles of sponsored project administration.</w:t>
      </w:r>
    </w:p>
    <w:p w14:paraId="21FFC8AB" w14:textId="77777777" w:rsidR="00D012A7" w:rsidRPr="00AF47FA" w:rsidRDefault="00D012A7" w:rsidP="00D012A7">
      <w:pPr>
        <w:spacing w:after="0" w:line="240" w:lineRule="auto"/>
        <w:textAlignment w:val="baseline"/>
        <w:rPr>
          <w:rFonts w:ascii="Times New Roman" w:eastAsia="Times New Roman" w:hAnsi="Times New Roman" w:cs="Times New Roman"/>
          <w:color w:val="212529"/>
          <w:sz w:val="24"/>
          <w:szCs w:val="24"/>
          <w:lang w:val="en"/>
        </w:rPr>
      </w:pPr>
    </w:p>
    <w:p w14:paraId="6CC21286" w14:textId="77777777" w:rsidR="00D012A7" w:rsidRPr="00D012A7" w:rsidRDefault="00D012A7" w:rsidP="00D012A7">
      <w:pPr>
        <w:spacing w:after="0" w:line="240" w:lineRule="auto"/>
        <w:textAlignment w:val="baseline"/>
        <w:rPr>
          <w:rFonts w:ascii="Times New Roman" w:eastAsia="Times New Roman" w:hAnsi="Times New Roman" w:cs="Times New Roman"/>
          <w:color w:val="212529"/>
          <w:sz w:val="24"/>
          <w:szCs w:val="24"/>
          <w:lang w:val="en"/>
        </w:rPr>
      </w:pPr>
      <w:r w:rsidRPr="00D012A7">
        <w:rPr>
          <w:rFonts w:ascii="Times New Roman" w:eastAsia="Times New Roman" w:hAnsi="Times New Roman" w:cs="Times New Roman"/>
          <w:color w:val="212529"/>
          <w:sz w:val="24"/>
          <w:szCs w:val="24"/>
          <w:lang w:val="en"/>
        </w:rPr>
        <w:t>Please note that the distribution of these responsibilities may vary in different areas of campus. Responsibilities may be shared or delegated differently between the respective groups depending on organizational structure and staffing at the P</w:t>
      </w:r>
      <w:r w:rsidR="00AF47FA" w:rsidRPr="00AF47FA">
        <w:rPr>
          <w:rFonts w:ascii="Times New Roman" w:eastAsia="Times New Roman" w:hAnsi="Times New Roman" w:cs="Times New Roman"/>
          <w:color w:val="212529"/>
          <w:sz w:val="24"/>
          <w:szCs w:val="24"/>
          <w:lang w:val="en"/>
        </w:rPr>
        <w:t xml:space="preserve">I/designee and/or college/school </w:t>
      </w:r>
      <w:r w:rsidRPr="00D012A7">
        <w:rPr>
          <w:rFonts w:ascii="Times New Roman" w:eastAsia="Times New Roman" w:hAnsi="Times New Roman" w:cs="Times New Roman"/>
          <w:color w:val="212529"/>
          <w:sz w:val="24"/>
          <w:szCs w:val="24"/>
          <w:lang w:val="en"/>
        </w:rPr>
        <w:t>level.</w:t>
      </w:r>
    </w:p>
    <w:p w14:paraId="6C4D86AE" w14:textId="77777777" w:rsidR="00AF47FA" w:rsidRPr="00AF47FA" w:rsidRDefault="00AF47FA" w:rsidP="00D012A7">
      <w:pPr>
        <w:spacing w:after="0" w:line="240" w:lineRule="auto"/>
        <w:textAlignment w:val="baseline"/>
        <w:outlineLvl w:val="4"/>
        <w:rPr>
          <w:rFonts w:ascii="Times New Roman" w:eastAsia="Times New Roman" w:hAnsi="Times New Roman" w:cs="Times New Roman"/>
          <w:b/>
          <w:bCs/>
          <w:color w:val="212529"/>
          <w:sz w:val="24"/>
          <w:szCs w:val="24"/>
          <w:lang w:val="en"/>
        </w:rPr>
      </w:pPr>
    </w:p>
    <w:p w14:paraId="75349F8B" w14:textId="77777777" w:rsidR="00D012A7" w:rsidRDefault="00D012A7" w:rsidP="00D012A7">
      <w:pPr>
        <w:spacing w:after="0" w:line="240" w:lineRule="auto"/>
        <w:textAlignment w:val="baseline"/>
        <w:outlineLvl w:val="4"/>
        <w:rPr>
          <w:rFonts w:ascii="Times New Roman" w:eastAsia="Times New Roman" w:hAnsi="Times New Roman" w:cs="Times New Roman"/>
          <w:b/>
          <w:bCs/>
          <w:color w:val="212529"/>
          <w:sz w:val="28"/>
          <w:szCs w:val="24"/>
          <w:u w:val="single"/>
          <w:lang w:val="en"/>
        </w:rPr>
      </w:pPr>
      <w:r w:rsidRPr="00D012A7">
        <w:rPr>
          <w:rFonts w:ascii="Times New Roman" w:eastAsia="Times New Roman" w:hAnsi="Times New Roman" w:cs="Times New Roman"/>
          <w:b/>
          <w:bCs/>
          <w:color w:val="212529"/>
          <w:sz w:val="28"/>
          <w:szCs w:val="24"/>
          <w:u w:val="single"/>
          <w:lang w:val="en"/>
        </w:rPr>
        <w:t>Assistance and Support</w:t>
      </w:r>
    </w:p>
    <w:p w14:paraId="7ED98BB5" w14:textId="77777777" w:rsidR="00F71C21" w:rsidRPr="00F71C21" w:rsidRDefault="00F71C21" w:rsidP="00D012A7">
      <w:pPr>
        <w:spacing w:after="0" w:line="240" w:lineRule="auto"/>
        <w:textAlignment w:val="baseline"/>
        <w:outlineLvl w:val="4"/>
        <w:rPr>
          <w:rFonts w:ascii="Times New Roman" w:eastAsia="Times New Roman" w:hAnsi="Times New Roman" w:cs="Times New Roman"/>
          <w:b/>
          <w:bCs/>
          <w:color w:val="212529"/>
          <w:sz w:val="24"/>
          <w:szCs w:val="24"/>
          <w:u w:val="single"/>
          <w:lang w:val="en"/>
        </w:rPr>
      </w:pPr>
    </w:p>
    <w:p w14:paraId="7AD19477" w14:textId="77777777" w:rsidR="00D012A7" w:rsidRPr="00D012A7" w:rsidRDefault="00AF47FA" w:rsidP="00D012A7">
      <w:pPr>
        <w:spacing w:after="0" w:line="240" w:lineRule="auto"/>
        <w:textAlignment w:val="baseline"/>
        <w:rPr>
          <w:rFonts w:ascii="Times New Roman" w:eastAsia="Times New Roman" w:hAnsi="Times New Roman" w:cs="Times New Roman"/>
          <w:color w:val="212529"/>
          <w:sz w:val="24"/>
          <w:szCs w:val="24"/>
          <w:lang w:val="en"/>
        </w:rPr>
      </w:pPr>
      <w:r w:rsidRPr="00AF47FA">
        <w:rPr>
          <w:rFonts w:ascii="Times New Roman" w:eastAsia="Times New Roman" w:hAnsi="Times New Roman" w:cs="Times New Roman"/>
          <w:color w:val="212529"/>
          <w:sz w:val="24"/>
          <w:szCs w:val="24"/>
          <w:lang w:val="en"/>
        </w:rPr>
        <w:t>The Office of Research</w:t>
      </w:r>
      <w:r w:rsidR="00D012A7" w:rsidRPr="00D012A7">
        <w:rPr>
          <w:rFonts w:ascii="Times New Roman" w:eastAsia="Times New Roman" w:hAnsi="Times New Roman" w:cs="Times New Roman"/>
          <w:color w:val="212529"/>
          <w:sz w:val="24"/>
          <w:szCs w:val="24"/>
          <w:lang w:val="en"/>
        </w:rPr>
        <w:t xml:space="preserve"> is available to respond to inquiries and assist the PI or designee and College/School personnel with question regarding Cost Transfers. Your College/School’s Dean’s administrative office will also be able to provide guidance with cost transfer issues and concerns</w:t>
      </w:r>
    </w:p>
    <w:p w14:paraId="553980DB" w14:textId="77777777" w:rsidR="00D012A7" w:rsidRPr="00AF47FA" w:rsidRDefault="00D012A7" w:rsidP="00D012A7">
      <w:pPr>
        <w:spacing w:after="0"/>
        <w:rPr>
          <w:rFonts w:ascii="Times New Roman" w:hAnsi="Times New Roman" w:cs="Times New Roman"/>
          <w:b/>
          <w:sz w:val="24"/>
        </w:rPr>
      </w:pPr>
    </w:p>
    <w:p w14:paraId="1A11337E" w14:textId="77777777" w:rsidR="00FE4A7B" w:rsidRPr="00AF47FA" w:rsidRDefault="00FE4A7B" w:rsidP="00E02A35">
      <w:pPr>
        <w:spacing w:after="0"/>
        <w:rPr>
          <w:rFonts w:ascii="Times New Roman" w:hAnsi="Times New Roman" w:cs="Times New Roman"/>
          <w:b/>
          <w:sz w:val="24"/>
        </w:rPr>
      </w:pPr>
    </w:p>
    <w:p w14:paraId="20F12BC3" w14:textId="77777777" w:rsidR="00E02A35" w:rsidRPr="00AF47FA" w:rsidRDefault="00E02A35" w:rsidP="00E02A35">
      <w:pPr>
        <w:spacing w:after="0"/>
        <w:rPr>
          <w:rFonts w:ascii="Times New Roman" w:hAnsi="Times New Roman" w:cs="Times New Roman"/>
          <w:sz w:val="24"/>
        </w:rPr>
      </w:pPr>
    </w:p>
    <w:p w14:paraId="5F289A26" w14:textId="77777777" w:rsidR="00E02A35" w:rsidRPr="00AF47FA" w:rsidRDefault="00E02A35" w:rsidP="00E02A35">
      <w:pPr>
        <w:spacing w:after="0"/>
        <w:rPr>
          <w:rFonts w:ascii="Times New Roman" w:hAnsi="Times New Roman" w:cs="Times New Roman"/>
          <w:sz w:val="24"/>
        </w:rPr>
      </w:pPr>
    </w:p>
    <w:p w14:paraId="33AE9A7E" w14:textId="77777777" w:rsidR="00E02A35" w:rsidRPr="00AF47FA" w:rsidRDefault="00E02A35" w:rsidP="00E02A35">
      <w:pPr>
        <w:spacing w:after="0"/>
        <w:rPr>
          <w:rFonts w:ascii="Times New Roman" w:hAnsi="Times New Roman" w:cs="Times New Roman"/>
          <w:sz w:val="24"/>
        </w:rPr>
      </w:pPr>
    </w:p>
    <w:p w14:paraId="4C69A2D3" w14:textId="77777777" w:rsidR="00E02A35" w:rsidRPr="00AF47FA" w:rsidRDefault="00E02A35" w:rsidP="00E02A35">
      <w:pPr>
        <w:spacing w:after="0"/>
        <w:rPr>
          <w:rFonts w:ascii="Times New Roman" w:hAnsi="Times New Roman" w:cs="Times New Roman"/>
          <w:b/>
        </w:rPr>
      </w:pPr>
    </w:p>
    <w:p w14:paraId="0B984455" w14:textId="77777777" w:rsidR="00E02A35" w:rsidRPr="00AF47FA" w:rsidRDefault="00E02A35" w:rsidP="00E02A35">
      <w:pPr>
        <w:jc w:val="center"/>
        <w:rPr>
          <w:rFonts w:ascii="Times New Roman" w:hAnsi="Times New Roman" w:cs="Times New Roman"/>
          <w:b/>
          <w:sz w:val="28"/>
          <w:szCs w:val="28"/>
        </w:rPr>
      </w:pPr>
    </w:p>
    <w:p w14:paraId="6B8235E3" w14:textId="77777777" w:rsidR="00E02A35" w:rsidRPr="00AF47FA" w:rsidRDefault="00E02A35" w:rsidP="00E02A35">
      <w:pPr>
        <w:jc w:val="center"/>
        <w:rPr>
          <w:rFonts w:ascii="Times New Roman" w:hAnsi="Times New Roman" w:cs="Times New Roman"/>
          <w:b/>
          <w:sz w:val="28"/>
          <w:szCs w:val="28"/>
        </w:rPr>
      </w:pPr>
    </w:p>
    <w:p w14:paraId="7D5A2A77" w14:textId="77777777" w:rsidR="00E02A35" w:rsidRPr="00AF47FA" w:rsidRDefault="00E02A35" w:rsidP="00E02A35">
      <w:pPr>
        <w:rPr>
          <w:rFonts w:ascii="Times New Roman" w:hAnsi="Times New Roman" w:cs="Times New Roman"/>
          <w:b/>
          <w:sz w:val="28"/>
          <w:szCs w:val="28"/>
        </w:rPr>
      </w:pPr>
    </w:p>
    <w:p w14:paraId="071C11BE" w14:textId="77777777" w:rsidR="00E16741" w:rsidRPr="00AF47FA" w:rsidRDefault="00E16741">
      <w:pPr>
        <w:rPr>
          <w:rFonts w:ascii="Times New Roman" w:hAnsi="Times New Roman" w:cs="Times New Roman"/>
        </w:rPr>
      </w:pPr>
    </w:p>
    <w:sectPr w:rsidR="00132FA9" w:rsidRPr="00AF47F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3B942" w14:textId="77777777" w:rsidR="000E6929" w:rsidRDefault="000E6929" w:rsidP="007E120B">
      <w:pPr>
        <w:spacing w:after="0" w:line="240" w:lineRule="auto"/>
      </w:pPr>
      <w:r>
        <w:separator/>
      </w:r>
    </w:p>
  </w:endnote>
  <w:endnote w:type="continuationSeparator" w:id="0">
    <w:p w14:paraId="408D9D85" w14:textId="77777777" w:rsidR="000E6929" w:rsidRDefault="000E6929" w:rsidP="007E1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C5636" w14:textId="77777777" w:rsidR="000E6929" w:rsidRDefault="000E6929" w:rsidP="007E120B">
      <w:pPr>
        <w:spacing w:after="0" w:line="240" w:lineRule="auto"/>
      </w:pPr>
      <w:r>
        <w:separator/>
      </w:r>
    </w:p>
  </w:footnote>
  <w:footnote w:type="continuationSeparator" w:id="0">
    <w:p w14:paraId="549D797A" w14:textId="77777777" w:rsidR="000E6929" w:rsidRDefault="000E6929" w:rsidP="007E1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A460" w14:textId="77777777" w:rsidR="007E120B" w:rsidRDefault="007E1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164DB"/>
    <w:multiLevelType w:val="hybridMultilevel"/>
    <w:tmpl w:val="F2F4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32034"/>
    <w:multiLevelType w:val="hybridMultilevel"/>
    <w:tmpl w:val="643A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83D1B"/>
    <w:multiLevelType w:val="hybridMultilevel"/>
    <w:tmpl w:val="D03C0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A5075"/>
    <w:multiLevelType w:val="hybridMultilevel"/>
    <w:tmpl w:val="A882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552C8"/>
    <w:multiLevelType w:val="hybridMultilevel"/>
    <w:tmpl w:val="F20C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7480E"/>
    <w:multiLevelType w:val="multilevel"/>
    <w:tmpl w:val="21F4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0516A"/>
    <w:multiLevelType w:val="multilevel"/>
    <w:tmpl w:val="425A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1D3454"/>
    <w:multiLevelType w:val="multilevel"/>
    <w:tmpl w:val="6462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144715">
    <w:abstractNumId w:val="2"/>
  </w:num>
  <w:num w:numId="2" w16cid:durableId="1898584349">
    <w:abstractNumId w:val="4"/>
  </w:num>
  <w:num w:numId="3" w16cid:durableId="677462449">
    <w:abstractNumId w:val="1"/>
  </w:num>
  <w:num w:numId="4" w16cid:durableId="1343628054">
    <w:abstractNumId w:val="3"/>
  </w:num>
  <w:num w:numId="5" w16cid:durableId="1198852349">
    <w:abstractNumId w:val="0"/>
  </w:num>
  <w:num w:numId="6" w16cid:durableId="736394470">
    <w:abstractNumId w:val="6"/>
  </w:num>
  <w:num w:numId="7" w16cid:durableId="1464541010">
    <w:abstractNumId w:val="5"/>
  </w:num>
  <w:num w:numId="8" w16cid:durableId="1028801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35"/>
    <w:rsid w:val="000E6929"/>
    <w:rsid w:val="001020C9"/>
    <w:rsid w:val="001F641B"/>
    <w:rsid w:val="0020335D"/>
    <w:rsid w:val="00247910"/>
    <w:rsid w:val="005765EF"/>
    <w:rsid w:val="00583B59"/>
    <w:rsid w:val="005A7C3C"/>
    <w:rsid w:val="00601929"/>
    <w:rsid w:val="006132C8"/>
    <w:rsid w:val="0067091D"/>
    <w:rsid w:val="006B6530"/>
    <w:rsid w:val="007E120B"/>
    <w:rsid w:val="008168AC"/>
    <w:rsid w:val="00886481"/>
    <w:rsid w:val="00917996"/>
    <w:rsid w:val="00AF47FA"/>
    <w:rsid w:val="00C30225"/>
    <w:rsid w:val="00C57ECF"/>
    <w:rsid w:val="00D012A7"/>
    <w:rsid w:val="00E02A35"/>
    <w:rsid w:val="00E16741"/>
    <w:rsid w:val="00E50015"/>
    <w:rsid w:val="00EF05B7"/>
    <w:rsid w:val="00F4481B"/>
    <w:rsid w:val="00F71C21"/>
    <w:rsid w:val="00FE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92512"/>
  <w15:chartTrackingRefBased/>
  <w15:docId w15:val="{65DA6B10-2C9F-4DE9-961C-FF889AF8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A35"/>
    <w:rPr>
      <w:color w:val="0563C1" w:themeColor="hyperlink"/>
      <w:u w:val="single"/>
    </w:rPr>
  </w:style>
  <w:style w:type="paragraph" w:styleId="ListParagraph">
    <w:name w:val="List Paragraph"/>
    <w:basedOn w:val="Normal"/>
    <w:uiPriority w:val="34"/>
    <w:qFormat/>
    <w:rsid w:val="00583B59"/>
    <w:pPr>
      <w:ind w:left="720"/>
      <w:contextualSpacing/>
    </w:pPr>
  </w:style>
  <w:style w:type="paragraph" w:styleId="Header">
    <w:name w:val="header"/>
    <w:basedOn w:val="Normal"/>
    <w:link w:val="HeaderChar"/>
    <w:uiPriority w:val="99"/>
    <w:unhideWhenUsed/>
    <w:rsid w:val="007E1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20B"/>
  </w:style>
  <w:style w:type="paragraph" w:styleId="Footer">
    <w:name w:val="footer"/>
    <w:basedOn w:val="Normal"/>
    <w:link w:val="FooterChar"/>
    <w:uiPriority w:val="99"/>
    <w:unhideWhenUsed/>
    <w:rsid w:val="007E1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807555">
      <w:bodyDiv w:val="1"/>
      <w:marLeft w:val="0"/>
      <w:marRight w:val="0"/>
      <w:marTop w:val="0"/>
      <w:marBottom w:val="0"/>
      <w:divBdr>
        <w:top w:val="none" w:sz="0" w:space="0" w:color="auto"/>
        <w:left w:val="none" w:sz="0" w:space="0" w:color="auto"/>
        <w:bottom w:val="none" w:sz="0" w:space="0" w:color="auto"/>
        <w:right w:val="none" w:sz="0" w:space="0" w:color="auto"/>
      </w:divBdr>
      <w:divsChild>
        <w:div w:id="1636829604">
          <w:marLeft w:val="0"/>
          <w:marRight w:val="0"/>
          <w:marTop w:val="0"/>
          <w:marBottom w:val="0"/>
          <w:divBdr>
            <w:top w:val="none" w:sz="0" w:space="0" w:color="auto"/>
            <w:left w:val="none" w:sz="0" w:space="0" w:color="auto"/>
            <w:bottom w:val="none" w:sz="0" w:space="0" w:color="auto"/>
            <w:right w:val="none" w:sz="0" w:space="0" w:color="auto"/>
          </w:divBdr>
          <w:divsChild>
            <w:div w:id="1507209278">
              <w:marLeft w:val="-225"/>
              <w:marRight w:val="-225"/>
              <w:marTop w:val="0"/>
              <w:marBottom w:val="0"/>
              <w:divBdr>
                <w:top w:val="none" w:sz="0" w:space="0" w:color="auto"/>
                <w:left w:val="none" w:sz="0" w:space="0" w:color="auto"/>
                <w:bottom w:val="none" w:sz="0" w:space="0" w:color="auto"/>
                <w:right w:val="none" w:sz="0" w:space="0" w:color="auto"/>
              </w:divBdr>
              <w:divsChild>
                <w:div w:id="15204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e84713e24be0fb4548da7c8fd2782f5c&amp;mc=true&amp;node=sp2.1.200.e&amp;rgn=div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search.ucf.edu/documents/PDF/cg_Cost_Transfer_Explanation_Form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7EC58-A20F-49E3-A7EB-0B342C15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Sierra</dc:creator>
  <cp:keywords/>
  <dc:description/>
  <cp:lastModifiedBy>Bradley Phelps</cp:lastModifiedBy>
  <cp:revision>2</cp:revision>
  <cp:lastPrinted>2018-08-13T18:43:00Z</cp:lastPrinted>
  <dcterms:created xsi:type="dcterms:W3CDTF">2025-06-09T21:22:00Z</dcterms:created>
  <dcterms:modified xsi:type="dcterms:W3CDTF">2025-06-09T21:22:00Z</dcterms:modified>
</cp:coreProperties>
</file>